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AD6" w:rsidRDefault="00836AD6" w:rsidP="00836AD6">
      <w:pPr>
        <w:spacing w:after="0"/>
        <w:jc w:val="center"/>
        <w:rPr>
          <w:rFonts w:asciiTheme="majorBidi" w:hAnsiTheme="majorBidi" w:cstheme="majorBidi"/>
          <w:b/>
          <w:bCs/>
          <w:sz w:val="28"/>
          <w:szCs w:val="28"/>
        </w:rPr>
      </w:pPr>
      <w:r w:rsidRPr="00836AD6">
        <w:rPr>
          <w:rFonts w:asciiTheme="majorBidi" w:hAnsiTheme="majorBidi" w:cstheme="majorBidi"/>
          <w:b/>
          <w:bCs/>
          <w:sz w:val="28"/>
          <w:szCs w:val="28"/>
        </w:rPr>
        <w:t>CHARACTERISTICS OF THE ARCHIPELAGO ISLAMIC EDUCATION MODEL</w:t>
      </w:r>
    </w:p>
    <w:p w:rsidR="00836AD6" w:rsidRDefault="00836AD6" w:rsidP="00836AD6">
      <w:pPr>
        <w:spacing w:after="0"/>
        <w:jc w:val="center"/>
        <w:rPr>
          <w:rFonts w:asciiTheme="majorBidi" w:hAnsiTheme="majorBidi" w:cstheme="majorBidi"/>
          <w:b/>
          <w:bCs/>
          <w:sz w:val="28"/>
          <w:szCs w:val="28"/>
        </w:rPr>
      </w:pPr>
    </w:p>
    <w:p w:rsidR="00836AD6" w:rsidRDefault="00836AD6" w:rsidP="00836AD6">
      <w:pPr>
        <w:spacing w:after="0"/>
        <w:jc w:val="center"/>
        <w:rPr>
          <w:rFonts w:asciiTheme="majorBidi" w:hAnsiTheme="majorBidi" w:cstheme="majorBidi"/>
          <w:b/>
          <w:bCs/>
          <w:sz w:val="28"/>
          <w:szCs w:val="28"/>
        </w:rPr>
      </w:pPr>
      <w:r>
        <w:rPr>
          <w:rFonts w:asciiTheme="majorBidi" w:hAnsiTheme="majorBidi" w:cstheme="majorBidi"/>
          <w:b/>
          <w:bCs/>
          <w:sz w:val="28"/>
          <w:szCs w:val="28"/>
        </w:rPr>
        <w:t>By:</w:t>
      </w:r>
    </w:p>
    <w:p w:rsidR="00836AD6" w:rsidRPr="009F0821" w:rsidRDefault="009F0821" w:rsidP="00836AD6">
      <w:pPr>
        <w:spacing w:after="0"/>
        <w:jc w:val="center"/>
        <w:rPr>
          <w:rFonts w:asciiTheme="majorBidi" w:hAnsiTheme="majorBidi" w:cstheme="majorBidi"/>
          <w:sz w:val="28"/>
          <w:szCs w:val="28"/>
        </w:rPr>
      </w:pPr>
      <w:r>
        <w:rPr>
          <w:rFonts w:asciiTheme="majorBidi" w:hAnsiTheme="majorBidi" w:cstheme="majorBidi"/>
          <w:sz w:val="28"/>
          <w:szCs w:val="28"/>
        </w:rPr>
        <w:t>Khafidhyahya8@gmail.com</w:t>
      </w:r>
      <w:bookmarkStart w:id="0" w:name="_GoBack"/>
      <w:bookmarkEnd w:id="0"/>
    </w:p>
    <w:p w:rsidR="009F0821" w:rsidRDefault="009F0821" w:rsidP="00836AD6">
      <w:pPr>
        <w:spacing w:after="0"/>
        <w:jc w:val="center"/>
        <w:rPr>
          <w:rFonts w:asciiTheme="majorBidi" w:hAnsiTheme="majorBidi" w:cstheme="majorBidi"/>
          <w:b/>
          <w:bCs/>
          <w:sz w:val="28"/>
          <w:szCs w:val="28"/>
        </w:rPr>
      </w:pPr>
    </w:p>
    <w:p w:rsidR="00836AD6" w:rsidRDefault="00836AD6" w:rsidP="00836AD6">
      <w:pPr>
        <w:spacing w:after="0"/>
        <w:jc w:val="center"/>
        <w:rPr>
          <w:rFonts w:asciiTheme="majorBidi" w:hAnsiTheme="majorBidi" w:cstheme="majorBidi"/>
          <w:b/>
          <w:bCs/>
          <w:sz w:val="28"/>
          <w:szCs w:val="28"/>
        </w:rPr>
      </w:pPr>
      <w:r>
        <w:rPr>
          <w:rFonts w:asciiTheme="majorBidi" w:hAnsiTheme="majorBidi" w:cstheme="majorBidi"/>
          <w:b/>
          <w:bCs/>
          <w:sz w:val="28"/>
          <w:szCs w:val="28"/>
        </w:rPr>
        <w:t>Universitas Wahid Hasyim Semarang</w:t>
      </w:r>
    </w:p>
    <w:p w:rsidR="00836AD6" w:rsidRPr="00836AD6" w:rsidRDefault="00836AD6" w:rsidP="00836AD6">
      <w:pPr>
        <w:spacing w:after="0"/>
        <w:jc w:val="center"/>
        <w:rPr>
          <w:rFonts w:asciiTheme="majorBidi" w:hAnsiTheme="majorBidi" w:cstheme="majorBidi"/>
          <w:b/>
          <w:bCs/>
          <w:sz w:val="28"/>
          <w:szCs w:val="28"/>
        </w:rPr>
      </w:pPr>
    </w:p>
    <w:p w:rsidR="00836AD6" w:rsidRPr="00836AD6" w:rsidRDefault="00836AD6" w:rsidP="00836AD6">
      <w:pPr>
        <w:spacing w:after="0"/>
        <w:jc w:val="center"/>
        <w:rPr>
          <w:rFonts w:asciiTheme="majorBidi" w:hAnsiTheme="majorBidi" w:cstheme="majorBidi"/>
          <w:sz w:val="24"/>
          <w:szCs w:val="24"/>
        </w:rPr>
      </w:pPr>
      <w:r w:rsidRPr="00836AD6">
        <w:rPr>
          <w:rFonts w:asciiTheme="majorBidi" w:hAnsiTheme="majorBidi" w:cstheme="majorBidi"/>
          <w:sz w:val="24"/>
          <w:szCs w:val="24"/>
        </w:rPr>
        <w:t>Abstract</w:t>
      </w:r>
    </w:p>
    <w:p w:rsidR="00836AD6" w:rsidRPr="00836AD6" w:rsidRDefault="00836AD6" w:rsidP="00836AD6">
      <w:pPr>
        <w:spacing w:after="0"/>
        <w:jc w:val="both"/>
        <w:rPr>
          <w:rFonts w:asciiTheme="majorBidi" w:hAnsiTheme="majorBidi" w:cstheme="majorBidi"/>
          <w:i/>
          <w:iCs/>
          <w:sz w:val="24"/>
          <w:szCs w:val="24"/>
        </w:rPr>
      </w:pPr>
      <w:r w:rsidRPr="00836AD6">
        <w:rPr>
          <w:rFonts w:asciiTheme="majorBidi" w:hAnsiTheme="majorBidi" w:cstheme="majorBidi"/>
          <w:i/>
          <w:iCs/>
          <w:sz w:val="24"/>
          <w:szCs w:val="24"/>
        </w:rPr>
        <w:t>Looking at history, Islamic education in the archipelago cannot be dated in origin based on the process of spreading Islam in the archipelago. Islamic education in the archipelago cannot be separated from the dynamics of the development of Islam in the archipelago. Since Islam was present in the archipelago, Islamic education has actually shown its form although it is still very simple. Of course, there are shifts, changes, and discoveries in it which are still ongoing. What is examined in the writing above is an effort to bring together as well as formulate Islamic education in the archipelago using Islamic and archipelagic characters. By emphasizing the orientation and style of education, at least it can describe how the concept of Islamic education is in the frame of Islam Nusantara.</w:t>
      </w:r>
    </w:p>
    <w:p w:rsidR="00836AD6" w:rsidRPr="00836AD6" w:rsidRDefault="00836AD6" w:rsidP="00836AD6">
      <w:pPr>
        <w:spacing w:after="0"/>
        <w:jc w:val="both"/>
        <w:rPr>
          <w:rFonts w:asciiTheme="majorBidi" w:hAnsiTheme="majorBidi" w:cstheme="majorBidi"/>
          <w:i/>
          <w:iCs/>
          <w:sz w:val="24"/>
          <w:szCs w:val="24"/>
        </w:rPr>
      </w:pPr>
      <w:r w:rsidRPr="00836AD6">
        <w:rPr>
          <w:rFonts w:asciiTheme="majorBidi" w:hAnsiTheme="majorBidi" w:cstheme="majorBidi"/>
          <w:i/>
          <w:iCs/>
          <w:sz w:val="24"/>
          <w:szCs w:val="24"/>
        </w:rPr>
        <w:t>Keywords: Nusantara Islamic Education, Characteristics, Orientation and Style of Education.</w:t>
      </w:r>
    </w:p>
    <w:p w:rsidR="00836AD6" w:rsidRPr="00836AD6" w:rsidRDefault="00836AD6" w:rsidP="00836AD6">
      <w:pPr>
        <w:spacing w:after="0"/>
        <w:jc w:val="both"/>
        <w:rPr>
          <w:rFonts w:asciiTheme="majorBidi" w:hAnsiTheme="majorBidi" w:cstheme="majorBidi"/>
          <w:sz w:val="24"/>
          <w:szCs w:val="24"/>
        </w:rPr>
      </w:pPr>
    </w:p>
    <w:p w:rsidR="00836AD6" w:rsidRPr="00836AD6" w:rsidRDefault="00836AD6" w:rsidP="00836AD6">
      <w:pPr>
        <w:spacing w:after="0"/>
        <w:jc w:val="both"/>
        <w:rPr>
          <w:rFonts w:asciiTheme="majorBidi" w:hAnsiTheme="majorBidi" w:cstheme="majorBidi"/>
          <w:sz w:val="24"/>
          <w:szCs w:val="24"/>
        </w:rPr>
      </w:pPr>
      <w:r w:rsidRPr="00836AD6">
        <w:rPr>
          <w:rFonts w:asciiTheme="majorBidi" w:hAnsiTheme="majorBidi" w:cstheme="majorBidi"/>
          <w:sz w:val="24"/>
          <w:szCs w:val="24"/>
        </w:rPr>
        <w:t>A. Introduction</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In many examples, Islamic education usually has its own characteristics according to the goals to be achieved. These characteristics become self-evidence that distinguishes one example from another. Likewise in the example of Nusantara Islamic Education which has its own identical characteristics using wasatiyah Islamic teachings which tend to teach harmony, peace, tolerance, openness and harmony. Although in the early days of campaigning for the concept of Islam Nusantara, there were various pros and cons to some groups, especially within the intolerant Islamic movement.</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Those who reject Islam Nusantara are of the view that there is only one Islam, namely that which is in sync with what has been taught by the Prophet Muhammad. Unbiased Islam is given evidence of self according to a style, approach as well as an exclusive area as a result of which it creates a new identity for Islam as is the case with Islam Nusantara. If there is another Islam outside of Islam that was taught by the Prophet Muhammad, then it is obligatory to adjust it using the standard Islam earlier. But for Islamic thinkers who are in line with using the evidence of the self of Islam Nusantara, they are of the view that the substance of Islam is indeed one, but in the style or way of expressing Islam, it is very diverse.</w:t>
      </w:r>
    </w:p>
    <w:p w:rsidR="00900EB1" w:rsidRPr="00836AD6" w:rsidRDefault="00900EB1" w:rsidP="00BA6ADF">
      <w:pPr>
        <w:spacing w:after="0"/>
        <w:ind w:left="284" w:firstLine="567"/>
        <w:jc w:val="both"/>
        <w:rPr>
          <w:rFonts w:asciiTheme="majorBidi" w:hAnsiTheme="majorBidi" w:cstheme="majorBidi"/>
          <w:sz w:val="24"/>
          <w:szCs w:val="24"/>
        </w:rPr>
      </w:pPr>
    </w:p>
    <w:p w:rsid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Basically, those who agree to use acknowledge the existence of Islam Nusantara as proof of themselves only have an Islamic view on the perspective of its expression. This expression of Islam Nusantara at this time shows the same realities continuously from generation to generation, which in turn will create exclusive characteristics that can be identified, known and understood as a result, making it easier for others to know about Islam Nusantara.</w:t>
      </w:r>
    </w:p>
    <w:p w:rsidR="00BA6ADF" w:rsidRPr="00836AD6" w:rsidRDefault="00BA6ADF" w:rsidP="00BA6ADF">
      <w:pPr>
        <w:spacing w:after="0"/>
        <w:ind w:left="284" w:firstLine="567"/>
        <w:jc w:val="both"/>
        <w:rPr>
          <w:rFonts w:asciiTheme="majorBidi" w:hAnsiTheme="majorBidi" w:cstheme="majorBidi"/>
          <w:sz w:val="24"/>
          <w:szCs w:val="24"/>
        </w:rPr>
      </w:pPr>
    </w:p>
    <w:p w:rsidR="00836AD6" w:rsidRPr="00836AD6" w:rsidRDefault="00836AD6" w:rsidP="00836AD6">
      <w:pPr>
        <w:spacing w:after="0"/>
        <w:jc w:val="both"/>
        <w:rPr>
          <w:rFonts w:asciiTheme="majorBidi" w:hAnsiTheme="majorBidi" w:cstheme="majorBidi"/>
          <w:sz w:val="24"/>
          <w:szCs w:val="24"/>
        </w:rPr>
      </w:pPr>
      <w:r w:rsidRPr="00836AD6">
        <w:rPr>
          <w:rFonts w:asciiTheme="majorBidi" w:hAnsiTheme="majorBidi" w:cstheme="majorBidi"/>
          <w:sz w:val="24"/>
          <w:szCs w:val="24"/>
        </w:rPr>
        <w:t xml:space="preserve">B. Paradigm </w:t>
      </w:r>
      <w:r w:rsidR="00BA6ADF" w:rsidRPr="00836AD6">
        <w:rPr>
          <w:rFonts w:asciiTheme="majorBidi" w:hAnsiTheme="majorBidi" w:cstheme="majorBidi"/>
          <w:sz w:val="24"/>
          <w:szCs w:val="24"/>
        </w:rPr>
        <w:t xml:space="preserve">Of The Context Of </w:t>
      </w:r>
      <w:r w:rsidRPr="00836AD6">
        <w:rPr>
          <w:rFonts w:asciiTheme="majorBidi" w:hAnsiTheme="majorBidi" w:cstheme="majorBidi"/>
          <w:sz w:val="24"/>
          <w:szCs w:val="24"/>
        </w:rPr>
        <w:t xml:space="preserve">Islamic </w:t>
      </w:r>
      <w:r w:rsidR="00BA6ADF" w:rsidRPr="00836AD6">
        <w:rPr>
          <w:rFonts w:asciiTheme="majorBidi" w:hAnsiTheme="majorBidi" w:cstheme="majorBidi"/>
          <w:sz w:val="24"/>
          <w:szCs w:val="24"/>
        </w:rPr>
        <w:t xml:space="preserve">Education And </w:t>
      </w:r>
      <w:r w:rsidRPr="00836AD6">
        <w:rPr>
          <w:rFonts w:asciiTheme="majorBidi" w:hAnsiTheme="majorBidi" w:cstheme="majorBidi"/>
          <w:sz w:val="24"/>
          <w:szCs w:val="24"/>
        </w:rPr>
        <w:t xml:space="preserve">Islamic </w:t>
      </w:r>
      <w:r w:rsidR="00BA6ADF" w:rsidRPr="00836AD6">
        <w:rPr>
          <w:rFonts w:asciiTheme="majorBidi" w:hAnsiTheme="majorBidi" w:cstheme="majorBidi"/>
          <w:sz w:val="24"/>
          <w:szCs w:val="24"/>
        </w:rPr>
        <w:t>Education In The Archipelago</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Looking at history, Islamic education in the archipelago cannot be dated in origin based on the process of spreading Islam in the archipelago. This is a form of integration in Islamic education whether in its implementation in the form of new ideas or as a result based on the continuity of the process of spreading Islam. If studied in depth, the flow of Islamic education that exists at this time has specific goals, among others, to become a form of synchronous Islamic culture using the dynamics of Islamic education found in the archipelago. Although in the context, there are things that need to be evaluated/developed into a form of discovery that is in sync with the times in the concepts of cultural renewal.</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The contest for the development of Islam in the archipelago in the early days of its spread was very close to using the Islamic da'wah movement which was focused on being placed in the process of systematic religious development. Among them are through non-formal and informal education, for example, taklim majlis and generic recitations. With the close interaction of Islamic education with the process of spreading da'wah, it has implications for shaping the pattern of Islamic education found in the archipelago. So if Islam Nusantara can be understood as a typology of Islam in the archipelago, then Islamic education in the archipelago can also be interpreted as a typology of Islamic education that has special characteristics of the archipelago (Sauqi Futaqi, 2019).</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The essence of Nusantara Islamic Education is generically an example of education that has special characteristics that refer to cultural values ​​as well as local wisdom found in the archipelago which tends to teach harmony, peace, tolerance, openness and harmony. This is something that is always campaigned in every discussion in formal and informal institutions. Some of them are a form of effort to counteract the radical ideas that exist in the people, considering that at this time in Indonesia there have been many intolerant movements that massively always put doctrine on the general people, especially in big cities.</w:t>
      </w:r>
    </w:p>
    <w:p w:rsidR="00836AD6" w:rsidRPr="00836AD6" w:rsidRDefault="00836AD6" w:rsidP="00836AD6">
      <w:pPr>
        <w:spacing w:after="0"/>
        <w:jc w:val="both"/>
        <w:rPr>
          <w:rFonts w:asciiTheme="majorBidi" w:hAnsiTheme="majorBidi" w:cstheme="majorBidi"/>
          <w:sz w:val="24"/>
          <w:szCs w:val="24"/>
        </w:rPr>
      </w:pPr>
    </w:p>
    <w:p w:rsidR="00836AD6" w:rsidRPr="00836AD6" w:rsidRDefault="00836AD6" w:rsidP="00836AD6">
      <w:pPr>
        <w:spacing w:after="0"/>
        <w:jc w:val="both"/>
        <w:rPr>
          <w:rFonts w:asciiTheme="majorBidi" w:hAnsiTheme="majorBidi" w:cstheme="majorBidi"/>
          <w:sz w:val="24"/>
          <w:szCs w:val="24"/>
        </w:rPr>
      </w:pPr>
      <w:r w:rsidRPr="00836AD6">
        <w:rPr>
          <w:rFonts w:asciiTheme="majorBidi" w:hAnsiTheme="majorBidi" w:cstheme="majorBidi"/>
          <w:sz w:val="24"/>
          <w:szCs w:val="24"/>
        </w:rPr>
        <w:t>C. Characteristics of Nusantara Islamic Education</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 xml:space="preserve">After studying more about the context of Islamic education in the perspective of Nusantara Islamic Education, there is still a clear understanding that Nusantara Islamic education has special characteristics that are self-evident </w:t>
      </w:r>
      <w:r w:rsidRPr="00836AD6">
        <w:rPr>
          <w:rFonts w:asciiTheme="majorBidi" w:hAnsiTheme="majorBidi" w:cstheme="majorBidi"/>
          <w:sz w:val="24"/>
          <w:szCs w:val="24"/>
        </w:rPr>
        <w:lastRenderedPageBreak/>
        <w:t>which is inherent in the concept of education. The primary basis for special characteristics in the concept of Islamic education in the archipelago cannot be separated based on the characteristics in Islamic education in the archipelago which has an educational orientation and educational style. The forms based on the orientation of education and the style of education in Islam Nusantara are as follows:</w:t>
      </w:r>
    </w:p>
    <w:p w:rsidR="00836AD6" w:rsidRPr="00836AD6" w:rsidRDefault="00836AD6" w:rsidP="00BA6ADF">
      <w:pPr>
        <w:spacing w:after="0"/>
        <w:ind w:left="284"/>
        <w:jc w:val="both"/>
        <w:rPr>
          <w:rFonts w:asciiTheme="majorBidi" w:hAnsiTheme="majorBidi" w:cstheme="majorBidi"/>
          <w:sz w:val="24"/>
          <w:szCs w:val="24"/>
        </w:rPr>
      </w:pPr>
      <w:r w:rsidRPr="00836AD6">
        <w:rPr>
          <w:rFonts w:asciiTheme="majorBidi" w:hAnsiTheme="majorBidi" w:cstheme="majorBidi"/>
          <w:sz w:val="24"/>
          <w:szCs w:val="24"/>
        </w:rPr>
        <w:t>1. Educational Orientation</w:t>
      </w:r>
    </w:p>
    <w:p w:rsidR="00836AD6" w:rsidRPr="00836AD6"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t>a. Ilhiyah Oriented</w:t>
      </w:r>
    </w:p>
    <w:p w:rsidR="00BA6ADF"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 xml:space="preserve">The divine orientation referred to in Nusantara Islamic education is not an orientation that is too high so that it is difficult to choose the level of success, but in this orientation the divine orientation contest becomes the primary spirit in carrying out every process of educational activity. The importance of the divine orientation in Isla Nusantara education as the first orientation which has the aim of controlling the interaction between humans using its Creator, namely Allah SWT. </w:t>
      </w:r>
    </w:p>
    <w:p w:rsidR="00836AD6" w:rsidRP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This was in sync using the special characteristics of Nusantara Islamic education which began with the teachings of monotheism. In addition, the value of divinity also occupies a primary position in Pancasila which is used as the basis of the State, namely in the first precept which reads "Belief in One Supreme God". Thus the concept of divinity in Islamic education in the archipelago has an important role, namely being good at teaching vertically between humans and using by the Creator.</w:t>
      </w:r>
    </w:p>
    <w:p w:rsidR="00836AD6" w:rsidRPr="00836AD6"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t>b. Human oriented</w:t>
      </w:r>
    </w:p>
    <w:p w:rsidR="00836AD6" w:rsidRPr="00836AD6" w:rsidRDefault="00836AD6" w:rsidP="00BA6ADF">
      <w:pPr>
        <w:spacing w:after="0"/>
        <w:ind w:left="851" w:firstLine="709"/>
        <w:jc w:val="both"/>
        <w:rPr>
          <w:rFonts w:asciiTheme="majorBidi" w:hAnsiTheme="majorBidi" w:cstheme="majorBidi"/>
          <w:sz w:val="24"/>
          <w:szCs w:val="24"/>
        </w:rPr>
      </w:pPr>
      <w:r w:rsidRPr="00836AD6">
        <w:rPr>
          <w:rFonts w:asciiTheme="majorBidi" w:hAnsiTheme="majorBidi" w:cstheme="majorBidi"/>
          <w:sz w:val="24"/>
          <w:szCs w:val="24"/>
        </w:rPr>
        <w:t>This 2nd orientation is a follow-up based on the first orientation. This does not mean that the second must be placed second, but rather an integral part of all human interactions. As a follow-up, success in serving God also means success in establishing interactions between people. if the orientation of Insaniyah education is bad, it automatically indicates the bad orientation of the divine. Even if a person's quality is not complete, it is only concerned with vertical communication, without improving horizontal communication.</w:t>
      </w:r>
    </w:p>
    <w:p w:rsidR="00836AD6" w:rsidRPr="00836AD6" w:rsidRDefault="00836AD6" w:rsidP="00BA6ADF">
      <w:pPr>
        <w:spacing w:after="0"/>
        <w:ind w:left="851" w:firstLine="709"/>
        <w:jc w:val="both"/>
        <w:rPr>
          <w:rFonts w:asciiTheme="majorBidi" w:hAnsiTheme="majorBidi" w:cstheme="majorBidi"/>
          <w:sz w:val="24"/>
          <w:szCs w:val="24"/>
        </w:rPr>
      </w:pPr>
      <w:r w:rsidRPr="00836AD6">
        <w:rPr>
          <w:rFonts w:asciiTheme="majorBidi" w:hAnsiTheme="majorBidi" w:cstheme="majorBidi"/>
          <w:sz w:val="24"/>
          <w:szCs w:val="24"/>
        </w:rPr>
        <w:t>Insaniyah values ​​here are values ​​that need to be applied by humans to their relationships using interpersonal relationships. It is a biological necessity that humans are social creatures, which means humans cannot date based on relationships or interactions between people. We can see this concept based on the similarity in the formulation of Islamic education which places human problems as an indicator of success for Islamic education. In several studies related to Islamic education, it is also known the doctrine that the best of humans are those who are useful to other humans. This indicates that there is a focus in human orientation which results in Islamic education not only being sky-high, but also grounded.</w:t>
      </w:r>
    </w:p>
    <w:p w:rsidR="00836AD6" w:rsidRPr="00836AD6"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t>c. Oriented 'Islamic Alamiyah'</w:t>
      </w:r>
    </w:p>
    <w:p w:rsidR="00836AD6" w:rsidRP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lastRenderedPageBreak/>
        <w:t>The context of Nusantara Islamic Education does not only talk about daily formal ubudiyah rituals, but also talks about the aspect that is currently the world's anxiety, namely the biological environment. The environmental crisis invites beliefs to seek legitimacy as the theological basis for the formulation of environmental enlightenment, or what is known as ecotheology. In this case, Islam is believed to contribute value to overcome environmental crisis cases. This fact is shown by the presence of several Islamic thinkers to find the perfect formulation / formulation of the problem of the biological environment. Seyyed Hossein Nasr, for example, has written works on environmental information from a traditionalist or Sufi point of view. In his first work, The Encounter of Man and Nature: The Spiritual Crisis of Modern Man, Hossein Nasr predicts the dangerous consequences that may exist based on the crisis that occurs in the environment. This book is also a philosophical critique of the latest conception of nature into a material that can be mastered and controlled by the latest science and technology. This is also Nasr's first work in which he challenges the latest science and his secular views.</w:t>
      </w:r>
    </w:p>
    <w:p w:rsidR="00836AD6" w:rsidRP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In another of his books, Religion and the Order of Nature, Seyyed Hossein puts an analysis of recent scientific advances on the one hand, and a critique of secular and reductionist philosophies regarding the use of nature, on the other. This book also seeks to revive the sacred new views of nature and traditional cosmology which have been Hossein Nasr's interests throughout his intellectual career. In fact, in the study of Islamic education, which studies many classical thinkers, such as Al-Ghazali, also emphasizes this aspect. He views that all knowledge must be oriented towards the attainment of high spirituality. Natural science, for example, must be used as a process of contemplation (contemplation) to identify indications of God's greatness and find the implied message based on every sign of nature.</w:t>
      </w:r>
    </w:p>
    <w:p w:rsidR="00836AD6" w:rsidRPr="00836AD6" w:rsidRDefault="00836AD6" w:rsidP="00BA6ADF">
      <w:pPr>
        <w:spacing w:after="0"/>
        <w:ind w:left="851" w:firstLine="567"/>
        <w:jc w:val="both"/>
        <w:rPr>
          <w:rFonts w:asciiTheme="majorBidi" w:hAnsiTheme="majorBidi" w:cstheme="majorBidi"/>
          <w:sz w:val="24"/>
          <w:szCs w:val="24"/>
        </w:rPr>
      </w:pPr>
    </w:p>
    <w:p w:rsid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Tafakkur in this sense is interpreted using empirical reading on the dimensions of spiritual insight and the dominance of knowledge of implied messages. Al-Ghazali also emphasized that religious sciences can only be obtained using the perfection of reason and clarity of reason. Because, only by using ratio, humans can get a mandate based on Allah and get closer to Him. This implies that the divine orientation basically contains the consequences of human concern for the universe which is part based on indications of the greatness of God. Therefore, in Islamic education that developed in the archipelago, many arguments were found that emphasized the importance of establishing harmonious interactions using the universe. two.</w:t>
      </w:r>
      <w:r w:rsidR="00BA6ADF">
        <w:rPr>
          <w:rFonts w:asciiTheme="majorBidi" w:hAnsiTheme="majorBidi" w:cstheme="majorBidi"/>
          <w:sz w:val="24"/>
          <w:szCs w:val="24"/>
        </w:rPr>
        <w:t xml:space="preserve"> </w:t>
      </w:r>
    </w:p>
    <w:p w:rsidR="00BA6ADF" w:rsidRPr="00836AD6" w:rsidRDefault="00BA6ADF" w:rsidP="00BA6ADF">
      <w:pPr>
        <w:spacing w:after="0"/>
        <w:ind w:left="851" w:firstLine="567"/>
        <w:jc w:val="both"/>
        <w:rPr>
          <w:rFonts w:asciiTheme="majorBidi" w:hAnsiTheme="majorBidi" w:cstheme="majorBidi"/>
          <w:sz w:val="24"/>
          <w:szCs w:val="24"/>
        </w:rPr>
      </w:pPr>
    </w:p>
    <w:p w:rsidR="00836AD6" w:rsidRPr="00836AD6" w:rsidRDefault="00836AD6" w:rsidP="00BA6ADF">
      <w:pPr>
        <w:spacing w:after="0"/>
        <w:ind w:left="284"/>
        <w:jc w:val="both"/>
        <w:rPr>
          <w:rFonts w:asciiTheme="majorBidi" w:hAnsiTheme="majorBidi" w:cstheme="majorBidi"/>
          <w:sz w:val="24"/>
          <w:szCs w:val="24"/>
        </w:rPr>
      </w:pPr>
      <w:r w:rsidRPr="00836AD6">
        <w:rPr>
          <w:rFonts w:asciiTheme="majorBidi" w:hAnsiTheme="majorBidi" w:cstheme="majorBidi"/>
          <w:sz w:val="24"/>
          <w:szCs w:val="24"/>
        </w:rPr>
        <w:t>2. Educational style</w:t>
      </w:r>
    </w:p>
    <w:p w:rsidR="00BA6ADF"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lastRenderedPageBreak/>
        <w:t xml:space="preserve">a. Integrative Islamic education </w:t>
      </w:r>
    </w:p>
    <w:p w:rsidR="00836AD6" w:rsidRPr="00836AD6" w:rsidRDefault="00BA6ADF" w:rsidP="00BA6ADF">
      <w:pPr>
        <w:spacing w:after="0"/>
        <w:ind w:left="851"/>
        <w:jc w:val="both"/>
        <w:rPr>
          <w:rFonts w:asciiTheme="majorBidi" w:hAnsiTheme="majorBidi" w:cstheme="majorBidi"/>
          <w:sz w:val="24"/>
          <w:szCs w:val="24"/>
        </w:rPr>
      </w:pPr>
      <w:r>
        <w:rPr>
          <w:rFonts w:asciiTheme="majorBidi" w:hAnsiTheme="majorBidi" w:cstheme="majorBidi"/>
          <w:sz w:val="24"/>
          <w:szCs w:val="24"/>
        </w:rPr>
        <w:t>I</w:t>
      </w:r>
      <w:r w:rsidR="00836AD6" w:rsidRPr="00836AD6">
        <w:rPr>
          <w:rFonts w:asciiTheme="majorBidi" w:hAnsiTheme="majorBidi" w:cstheme="majorBidi"/>
          <w:sz w:val="24"/>
          <w:szCs w:val="24"/>
        </w:rPr>
        <w:t>n the archipelago also finds its form in the example of integrative Islamic education. In curriculum development, for example, this integration was widely discussed by Muslim scientists such as Fazlur Rahman, Seyyed Hossein Nasr, Ismail Raji` al-Faruqi, and Sheikh Muhammad Naquib al-Attas. In Indonesia, the effort to integrate knowledge was also developed by Muslim scientists, for example Kuntowijoyo using the concept of "Islamic Science," using the Qur'an to produce a scientific framework, which in this case can be done in 2 ways, namely:</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(1) integralization, namely the integration of human scientific wealth using revelation;</w:t>
      </w:r>
    </w:p>
    <w:p w:rsidR="00BA6ADF"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 xml:space="preserve">(2) objectification, namely producing Islamic knowledge as a blessing for all people. </w:t>
      </w:r>
    </w:p>
    <w:p w:rsidR="00836AD6" w:rsidRP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Imam Suprayogo shows this integration by illustrating a complete tree, where religious studies must be supported using other scientific foundations so that Islamic studies can stand strong. The integration, in Amin Abdullah's view, needs to be integrated using interconnection. The integrative-interconnective approach is an approach that seeks to respect each other, on the meaning of generic science and a conscious belief in each other's limitations in solving human problems. This will give birth to a collaboration that at least knows each other's approach (approach) and method of thinking (process and procedure) between the two scientists. The principle of integration offered by the thinkers above is at least able to restore the spirit of Islam Nusantara in the formulation of Islamic education policies.</w:t>
      </w:r>
    </w:p>
    <w:p w:rsidR="00836AD6" w:rsidRPr="00836AD6" w:rsidRDefault="00836AD6" w:rsidP="00BA6ADF">
      <w:pPr>
        <w:spacing w:after="0"/>
        <w:ind w:left="851" w:firstLine="567"/>
        <w:jc w:val="both"/>
        <w:rPr>
          <w:rFonts w:asciiTheme="majorBidi" w:hAnsiTheme="majorBidi" w:cstheme="majorBidi"/>
          <w:sz w:val="24"/>
          <w:szCs w:val="24"/>
        </w:rPr>
      </w:pPr>
    </w:p>
    <w:p w:rsidR="00836AD6" w:rsidRPr="00836AD6"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t>b. Character Based Education</w:t>
      </w:r>
    </w:p>
    <w:p w:rsidR="00836AD6" w:rsidRP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The destruction of civilizations of nations that have ever existed in history is always related to the decline of morals, manners, and/or character. In assessing Islamic civilization, Al-Attas made a statement that the root of Islamic decline is the lost of adab (loss of adab). The loss of adab results in misunderstanding and confusion in science. This issue of adab or morals is the most important point in the formulation of Islam Nusantara. If you look at the dynamics of Islamic education in the archipelago, character-based education tends to be a very emphasized example. One proof that the example of Islam and its educational institutions do not try to reduce the character of Islam and its archipelago. Both the hero figures as well as the Kyai permanently adhere to the concept of character building when looking at education issues.</w:t>
      </w:r>
    </w:p>
    <w:p w:rsidR="00836AD6" w:rsidRPr="00836AD6"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t>c. Multicultural Insight Education</w:t>
      </w:r>
    </w:p>
    <w:p w:rsidR="00836AD6" w:rsidRPr="00836AD6"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 xml:space="preserve">The encounter of Islam using various cultures and running in harmony on the archipelago shows a high respect for diversity. Conceptually, Kiai Tholhah Hasan tries to formulate a multicultural </w:t>
      </w:r>
      <w:r w:rsidRPr="00836AD6">
        <w:rPr>
          <w:rFonts w:asciiTheme="majorBidi" w:hAnsiTheme="majorBidi" w:cstheme="majorBidi"/>
          <w:sz w:val="24"/>
          <w:szCs w:val="24"/>
        </w:rPr>
        <w:lastRenderedPageBreak/>
        <w:t>Islamic education. According to him, multicultural Islamic education is education that places multiculturalism into one vision of education, using inclusive, egalitarian, democratic, and humanist primary characters, but permanently solid in spiritual values ​​and beliefs according to the Qur'an and al-Hadith. In this case, multicultural Islamic education has special characteristics in placing multiculturalism into the vision of education.</w:t>
      </w:r>
    </w:p>
    <w:p w:rsidR="00BA6ADF" w:rsidRDefault="00836AD6" w:rsidP="00BA6ADF">
      <w:pPr>
        <w:spacing w:after="0"/>
        <w:ind w:left="851" w:firstLine="567"/>
        <w:jc w:val="both"/>
        <w:rPr>
          <w:rFonts w:asciiTheme="majorBidi" w:hAnsiTheme="majorBidi" w:cstheme="majorBidi"/>
          <w:sz w:val="24"/>
          <w:szCs w:val="24"/>
        </w:rPr>
      </w:pPr>
      <w:r w:rsidRPr="00836AD6">
        <w:rPr>
          <w:rFonts w:asciiTheme="majorBidi" w:hAnsiTheme="majorBidi" w:cstheme="majorBidi"/>
          <w:sz w:val="24"/>
          <w:szCs w:val="24"/>
        </w:rPr>
        <w:t xml:space="preserve">The special feature lies in the values ​​that are explored based on the doctrine, historical news and intellectual dynamics of Muslims into embodiments based on the teachings contained in the Qur'an and al-Hadith. Based on Tholhah Hasan's study, in Islamic studies or inclusive Islam, there are still roots of inclusive values ​​that encourage the realization of a multiculturalist culture. The roots of this inclusive value are a collection of doctrines, historical news, and Islamic cultural dynamics, since the time of the Prophet Muhammad until now, which make it easier for Islam to become a belief that has an "inclusive character". Among these inclusive values ​​are Ta'aruf (knowing each other), At-Tawassuth (Moderate), At-Tasamuh (Tolerance), At-Ta'awun (Please Help), At-Tawazun (Harmony), and At-Tasyawur ( Dialog). </w:t>
      </w:r>
    </w:p>
    <w:p w:rsidR="00BA6ADF" w:rsidRDefault="00BA6ADF" w:rsidP="00BA6ADF">
      <w:pPr>
        <w:spacing w:after="0"/>
        <w:ind w:left="851" w:firstLine="567"/>
        <w:jc w:val="both"/>
        <w:rPr>
          <w:rFonts w:asciiTheme="majorBidi" w:hAnsiTheme="majorBidi" w:cstheme="majorBidi"/>
          <w:sz w:val="24"/>
          <w:szCs w:val="24"/>
        </w:rPr>
      </w:pPr>
    </w:p>
    <w:p w:rsidR="00BA6ADF" w:rsidRDefault="00836AD6" w:rsidP="00BA6ADF">
      <w:pPr>
        <w:spacing w:after="0"/>
        <w:ind w:left="567"/>
        <w:jc w:val="both"/>
        <w:rPr>
          <w:rFonts w:asciiTheme="majorBidi" w:hAnsiTheme="majorBidi" w:cstheme="majorBidi"/>
          <w:sz w:val="24"/>
          <w:szCs w:val="24"/>
        </w:rPr>
      </w:pPr>
      <w:r w:rsidRPr="00836AD6">
        <w:rPr>
          <w:rFonts w:asciiTheme="majorBidi" w:hAnsiTheme="majorBidi" w:cstheme="majorBidi"/>
          <w:sz w:val="24"/>
          <w:szCs w:val="24"/>
        </w:rPr>
        <w:t xml:space="preserve">d. Sufistic Education </w:t>
      </w:r>
    </w:p>
    <w:p w:rsidR="00836AD6" w:rsidRPr="00836AD6" w:rsidRDefault="00BA6ADF" w:rsidP="00BA6ADF">
      <w:pPr>
        <w:spacing w:after="0"/>
        <w:ind w:left="851" w:firstLine="850"/>
        <w:jc w:val="both"/>
        <w:rPr>
          <w:rFonts w:asciiTheme="majorBidi" w:hAnsiTheme="majorBidi" w:cstheme="majorBidi"/>
          <w:sz w:val="24"/>
          <w:szCs w:val="24"/>
        </w:rPr>
      </w:pPr>
      <w:r>
        <w:rPr>
          <w:rFonts w:asciiTheme="majorBidi" w:hAnsiTheme="majorBidi" w:cstheme="majorBidi"/>
          <w:sz w:val="24"/>
          <w:szCs w:val="24"/>
        </w:rPr>
        <w:t>I</w:t>
      </w:r>
      <w:r w:rsidR="00836AD6" w:rsidRPr="00836AD6">
        <w:rPr>
          <w:rFonts w:asciiTheme="majorBidi" w:hAnsiTheme="majorBidi" w:cstheme="majorBidi"/>
          <w:sz w:val="24"/>
          <w:szCs w:val="24"/>
        </w:rPr>
        <w:t>n the PBNU LESBUMI National Working Meeting on Wednesday-Thursday, 27 and 28 January 2016 at the PBNU Building, made seven ways of culture or Saptawikrama (Al Qowaid As Sabah). The contents based on the seven methods are as follows:</w:t>
      </w:r>
    </w:p>
    <w:p w:rsidR="00836AD6" w:rsidRPr="00836AD6" w:rsidRDefault="00836AD6" w:rsidP="00836AD6">
      <w:pPr>
        <w:spacing w:after="0"/>
        <w:jc w:val="both"/>
        <w:rPr>
          <w:rFonts w:asciiTheme="majorBidi" w:hAnsiTheme="majorBidi" w:cstheme="majorBidi"/>
          <w:sz w:val="24"/>
          <w:szCs w:val="24"/>
        </w:rPr>
      </w:pP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1) Gathering and consolidating movements based on the procedures, traditions and culture of the Archipelago;</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2) Develop examples of Sufistic education (tarbiyah wa ta'lim) that are closely related to using empirical in each educational unit, especially those managed by formal education forums (ma'arif) and Rabithah Ma'ahid Islamiyah (RMI);</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3) Building independent issues in interpreting local wisdom and Islamic culture of the archipelago in an ontological and scientific epistemological manner;</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4) Build strength and become a nation characterized by Bhinneka Tunggal Ika to knit back the maritime civilization of the Archipelago;</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5) Reviving diverse cultural arts in the realm of Bhnineka Tunggal Ika according to the values ​​of harmony, peace, tolerance, empathy, mutual cooperation, and excellence in arts, culture and science;</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6) Utilizing information and communication technology to spread the Nusantara Islam movement;</w:t>
      </w:r>
    </w:p>
    <w:p w:rsidR="00836AD6" w:rsidRPr="00836AD6" w:rsidRDefault="00836AD6" w:rsidP="00BA6ADF">
      <w:pPr>
        <w:spacing w:after="0"/>
        <w:ind w:left="1134" w:hanging="283"/>
        <w:jc w:val="both"/>
        <w:rPr>
          <w:rFonts w:asciiTheme="majorBidi" w:hAnsiTheme="majorBidi" w:cstheme="majorBidi"/>
          <w:sz w:val="24"/>
          <w:szCs w:val="24"/>
        </w:rPr>
      </w:pPr>
      <w:r w:rsidRPr="00836AD6">
        <w:rPr>
          <w:rFonts w:asciiTheme="majorBidi" w:hAnsiTheme="majorBidi" w:cstheme="majorBidi"/>
          <w:sz w:val="24"/>
          <w:szCs w:val="24"/>
        </w:rPr>
        <w:t>7) Prioritizing the principle of independent struggle to become a proof of the nation's self to face global challenges.</w:t>
      </w:r>
    </w:p>
    <w:p w:rsidR="00836AD6" w:rsidRPr="00836AD6" w:rsidRDefault="00836AD6" w:rsidP="00836AD6">
      <w:pPr>
        <w:spacing w:after="0"/>
        <w:jc w:val="both"/>
        <w:rPr>
          <w:rFonts w:asciiTheme="majorBidi" w:hAnsiTheme="majorBidi" w:cstheme="majorBidi"/>
          <w:sz w:val="24"/>
          <w:szCs w:val="24"/>
        </w:rPr>
      </w:pP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Although the seven cultural methods above relate to the Islam of the archipelago in a generic way, there is one specific way related to using Islamic education that is still in point 2, namely spreading examples of Sufistic education (tarbiyah wa ta'lim) which are closely related to using empiricism in each educational unit. , especially those managed by formal forums (ma'arif) and Rabithah Ma'ahid Islamiyah (RMI).</w:t>
      </w: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This point is not without reason because historically, Islam which emphasizes in the inner region (esotericism) presents more substantive Islam. Substantive Islam is not easily trapped in extremist behavior, and its distinctive characteristic is that it is very flexible and open to establishing existing socio-cultural relationships. Education using a Sufistic style puts forward rich Sufistic values ​​using wisdom values. Sufistic education also shows an educational formulation that teaches openness to disparities. In fact, there are many Sufistic teachings that encourage the realization of a tolerant people. The character of Sufi tolerance is also well explained by the historian, Marshal Hodgson in his book The Ventur of Islam that usually, Sufis tend to be tolerant of local differences, although Shari'ah scholars tend to be less tolerant.</w:t>
      </w:r>
    </w:p>
    <w:p w:rsidR="00836AD6" w:rsidRPr="00836AD6" w:rsidRDefault="00836AD6" w:rsidP="00BA6ADF">
      <w:pPr>
        <w:spacing w:after="0"/>
        <w:ind w:left="851" w:firstLine="850"/>
        <w:jc w:val="both"/>
        <w:rPr>
          <w:rFonts w:asciiTheme="majorBidi" w:hAnsiTheme="majorBidi" w:cstheme="majorBidi"/>
          <w:sz w:val="24"/>
          <w:szCs w:val="24"/>
        </w:rPr>
      </w:pP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The ulema are obliged to concentrate in matters of outward conformity, as instructed in the Shari'a, on maintaining the framework of rules and institutions for the sake of social unity. On the other hand, for the Sufis, external things take precedence. For most of them, especially in the mid-Early period, even the disparity between Islam and other cultural traditions such as Christianity is secondary; as well as the multiple disparities in the procedures for social norms among the people of Muhammad. What is crucial for them is the spiritual inclination of the heart to God.</w:t>
      </w: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The character of the Sufis who prioritize spiritual aspects in approaching God needs to be an afterthought for religious people in the midst of the existing disparities. What is prioritized in religious life is not selfishness in raising the banner of belief in the public sphere, but sincerity in gaining the pleasure of God. The boundaries of belief, race, culture, politics, and ideology that often give birth to intolerance behavior can at least be penetrated by imitating the Sufistic character who tends to be tolerant. Sufistic teachings also show the concept of affective-based multicultural education, using characteristics in developing an inclusive diversity mindset, developing enlightenment for learning to live in disparities.</w:t>
      </w: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 xml:space="preserve">Among the inspirations of Sufism in multicultural education was shown by Said Aqil Siraj who said that in Sufism, IQ (dzaka 'aqli), EQ (dzaka dzihni), and SQ (dzaka qalbi) are components that need to be </w:t>
      </w:r>
      <w:r w:rsidRPr="00836AD6">
        <w:rPr>
          <w:rFonts w:asciiTheme="majorBidi" w:hAnsiTheme="majorBidi" w:cstheme="majorBidi"/>
          <w:sz w:val="24"/>
          <w:szCs w:val="24"/>
        </w:rPr>
        <w:lastRenderedPageBreak/>
        <w:t>developed harmoniously as a result of creating extraordinary usability. usually both horizontally and vertically. In principle, humans need to be returned to the "center of existence" (markaz al-hasil) or "spiritual center" and kept away based on "life at the edge of the circle of existence. In the midst of multicultural conditions, if it should be maintained and developed, it is the strengthening of spirituality-based education which will in fact strengthen the authenticity of humanism which is always portrayed by the essence of divinity. Seyyed Hossein Nasr himself, through his work Knowledge and the Sacred, describes metaphysical matters that bring together authentic spiritual beliefs and traditions in a single point of transcendent unity. Namely, the God who is sought (believers) through multiple beliefs (becomes the paths to God). This is the basic essence of the perennial philosophy perspective.</w:t>
      </w: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If it is claimed to be a perennial religion (perennial beliefs and or traditions), it means that there is the same essence in every belief. Its philosophical formulation: the heart of religion or the religion of heart. This does not mean to obscure one's religiosity, but to emphasize that humans in their struggles always reach the center (God). Focusing on God also means not worrying too much about the existence of disparities.</w:t>
      </w:r>
    </w:p>
    <w:p w:rsidR="00836AD6" w:rsidRP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A well-known Sufi, Ibn 'Arabi, more emphatically calls the God that humans believe in or "the God of belief" is an image or form of God, or a new thought, concept, view, or idea about God created by human logic or his imitation. God, for example, is not God as He really is, God in Himself, His substance, but is a God created by man in sync using his abilities, knowledge, perception, and perception. Quoting al-Junayd's words, Ibn 'Arabi said, "The color of the water is the color of the vessel it occupies" (Lawn al-ma' lawn ina'ih). That is why God through a qudsi hadith says, "I am what My servant thinks about me" (</w:t>
      </w:r>
      <w:r w:rsidRPr="00BA6ADF">
        <w:rPr>
          <w:rFonts w:asciiTheme="majorBidi" w:hAnsiTheme="majorBidi" w:cstheme="majorBidi"/>
          <w:i/>
          <w:iCs/>
          <w:sz w:val="24"/>
          <w:szCs w:val="24"/>
        </w:rPr>
        <w:t>Ana 'inda zhann 'abdi bi)</w:t>
      </w:r>
      <w:r w:rsidRPr="00836AD6">
        <w:rPr>
          <w:rFonts w:asciiTheme="majorBidi" w:hAnsiTheme="majorBidi" w:cstheme="majorBidi"/>
          <w:sz w:val="24"/>
          <w:szCs w:val="24"/>
        </w:rPr>
        <w:t>. God is suspected, not known.</w:t>
      </w:r>
    </w:p>
    <w:p w:rsidR="00836AD6" w:rsidRDefault="00836AD6" w:rsidP="00BA6ADF">
      <w:pPr>
        <w:spacing w:after="0"/>
        <w:ind w:left="851" w:firstLine="850"/>
        <w:jc w:val="both"/>
        <w:rPr>
          <w:rFonts w:asciiTheme="majorBidi" w:hAnsiTheme="majorBidi" w:cstheme="majorBidi"/>
          <w:sz w:val="24"/>
          <w:szCs w:val="24"/>
        </w:rPr>
      </w:pPr>
      <w:r w:rsidRPr="00836AD6">
        <w:rPr>
          <w:rFonts w:asciiTheme="majorBidi" w:hAnsiTheme="majorBidi" w:cstheme="majorBidi"/>
          <w:sz w:val="24"/>
          <w:szCs w:val="24"/>
        </w:rPr>
        <w:t>In other words, God is only on human's assumption, not on his knowledge. Sufistic teachings that tend to have a multicultural perspective are in line with what the Sufi teachers did in sharing Islamic beliefs through informal education. With politeness, flexibility, and wisdom, Sufi teachers can embrace various layers of the people to get Islam. Without Sufistic teachings, the possibility of spreading Islam or even Islamic education in the archipelago will result in rejection of the people.</w:t>
      </w:r>
    </w:p>
    <w:p w:rsidR="00BA6ADF" w:rsidRPr="00836AD6" w:rsidRDefault="00BA6ADF" w:rsidP="00BA6ADF">
      <w:pPr>
        <w:spacing w:after="0"/>
        <w:ind w:left="851" w:firstLine="850"/>
        <w:jc w:val="both"/>
        <w:rPr>
          <w:rFonts w:asciiTheme="majorBidi" w:hAnsiTheme="majorBidi" w:cstheme="majorBidi"/>
          <w:sz w:val="24"/>
          <w:szCs w:val="24"/>
        </w:rPr>
      </w:pPr>
    </w:p>
    <w:p w:rsidR="00836AD6" w:rsidRPr="00BA6ADF" w:rsidRDefault="00BA6ADF" w:rsidP="00836AD6">
      <w:pPr>
        <w:spacing w:after="0"/>
        <w:jc w:val="both"/>
        <w:rPr>
          <w:rFonts w:asciiTheme="majorBidi" w:hAnsiTheme="majorBidi" w:cstheme="majorBidi"/>
          <w:b/>
          <w:bCs/>
          <w:sz w:val="24"/>
          <w:szCs w:val="24"/>
        </w:rPr>
      </w:pPr>
      <w:r w:rsidRPr="00BA6ADF">
        <w:rPr>
          <w:rFonts w:asciiTheme="majorBidi" w:hAnsiTheme="majorBidi" w:cstheme="majorBidi"/>
          <w:b/>
          <w:bCs/>
          <w:sz w:val="24"/>
          <w:szCs w:val="24"/>
        </w:rPr>
        <w:t>D. CONCLUSION</w:t>
      </w:r>
    </w:p>
    <w:p w:rsidR="00836AD6" w:rsidRPr="00836AD6" w:rsidRDefault="00836AD6" w:rsidP="00BA6ADF">
      <w:pPr>
        <w:spacing w:after="0"/>
        <w:ind w:left="284" w:firstLine="567"/>
        <w:jc w:val="both"/>
        <w:rPr>
          <w:rFonts w:asciiTheme="majorBidi" w:hAnsiTheme="majorBidi" w:cstheme="majorBidi"/>
          <w:sz w:val="24"/>
          <w:szCs w:val="24"/>
        </w:rPr>
      </w:pPr>
      <w:r w:rsidRPr="00836AD6">
        <w:rPr>
          <w:rFonts w:asciiTheme="majorBidi" w:hAnsiTheme="majorBidi" w:cstheme="majorBidi"/>
          <w:sz w:val="24"/>
          <w:szCs w:val="24"/>
        </w:rPr>
        <w:t xml:space="preserve">Islamic education in the archipelago cannot be separated from the dynamics of the development of Islam in the archipelago. Since Islam was present in the archipelago, Islamic education has actually shown its form although it is still very simple. Of course, there are shifts, changes, and discoveries in it which are still ongoing. What is examined in the writing above </w:t>
      </w:r>
      <w:r w:rsidRPr="00836AD6">
        <w:rPr>
          <w:rFonts w:asciiTheme="majorBidi" w:hAnsiTheme="majorBidi" w:cstheme="majorBidi"/>
          <w:sz w:val="24"/>
          <w:szCs w:val="24"/>
        </w:rPr>
        <w:lastRenderedPageBreak/>
        <w:t>is an effort to bring together as well as formulate Islamic education in the archipelago using Islamic and archipelagic characters. By emphasizing the orientation and style of education, at least it can describe how the concept of Islamic education is in the frame of Islam Nusantara. The discussion using the emphasis of the study above is also intended to provoke, stimulate, and encourage further discussion and research.</w:t>
      </w:r>
      <w:r w:rsidR="00BA6ADF">
        <w:rPr>
          <w:rFonts w:asciiTheme="majorBidi" w:hAnsiTheme="majorBidi" w:cstheme="majorBidi"/>
          <w:sz w:val="24"/>
          <w:szCs w:val="24"/>
        </w:rPr>
        <w:t xml:space="preserve"> </w:t>
      </w:r>
      <w:r w:rsidRPr="00836AD6">
        <w:rPr>
          <w:rFonts w:asciiTheme="majorBidi" w:hAnsiTheme="majorBidi" w:cstheme="majorBidi"/>
          <w:sz w:val="24"/>
          <w:szCs w:val="24"/>
        </w:rPr>
        <w:t>This encouragement is relatively reasonable considering the great potential of the existence of Nusantara Islamic education in responding to global challenges, especially in giving birth to religious behavior and social behavior of the educated generation. In the end, Nusantara Islamic education is the accum of moderate education.</w:t>
      </w:r>
    </w:p>
    <w:p w:rsidR="00836AD6" w:rsidRPr="00836AD6" w:rsidRDefault="00836AD6" w:rsidP="00836AD6">
      <w:pPr>
        <w:spacing w:after="0"/>
        <w:jc w:val="both"/>
        <w:rPr>
          <w:rFonts w:asciiTheme="majorBidi" w:hAnsiTheme="majorBidi" w:cstheme="majorBidi"/>
          <w:sz w:val="24"/>
          <w:szCs w:val="24"/>
        </w:rPr>
      </w:pPr>
    </w:p>
    <w:p w:rsidR="00836AD6" w:rsidRPr="00BA6ADF" w:rsidRDefault="00836AD6" w:rsidP="00BA6ADF">
      <w:pPr>
        <w:spacing w:after="0"/>
        <w:jc w:val="center"/>
        <w:rPr>
          <w:rFonts w:asciiTheme="majorBidi" w:hAnsiTheme="majorBidi" w:cstheme="majorBidi"/>
          <w:b/>
          <w:bCs/>
          <w:sz w:val="24"/>
          <w:szCs w:val="24"/>
        </w:rPr>
      </w:pPr>
      <w:r w:rsidRPr="00BA6ADF">
        <w:rPr>
          <w:rFonts w:asciiTheme="majorBidi" w:hAnsiTheme="majorBidi" w:cstheme="majorBidi"/>
          <w:b/>
          <w:bCs/>
          <w:sz w:val="24"/>
          <w:szCs w:val="24"/>
        </w:rPr>
        <w:t>Bibliography</w:t>
      </w:r>
    </w:p>
    <w:p w:rsidR="00836AD6" w:rsidRPr="00836AD6" w:rsidRDefault="00836AD6" w:rsidP="00836AD6">
      <w:pPr>
        <w:spacing w:after="0"/>
        <w:jc w:val="both"/>
        <w:rPr>
          <w:rFonts w:asciiTheme="majorBidi" w:hAnsiTheme="majorBidi" w:cstheme="majorBidi"/>
          <w:sz w:val="24"/>
          <w:szCs w:val="24"/>
        </w:rPr>
      </w:pP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‘Arabi, Ibn. Fushus al-Hikam. Beirut: Dar al-Kitab al-‘Arabi, 1980.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Al-attas, Syed Muhammad Naquid Islam dan Sekularisme, ter. Khalif Muammar. Bandung: PIMPIN, 2011. Azra, Azyumardi. Islam Subtantif: Agar Umat Tidak Menjadi Buih. Bandung: Mizan, 2000.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Buku Statistik Pendidikan Islam Tahun Pelajaran 2011/2012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Buku Statistik Pendidikan Islam Tahun Pelajaran 2014/2015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Hasan, Muhammad Tholhah Pendidikan Multikultural Sebagai Opsi Penanggulangan radikalisme. Malang: Lembaga Penerbitan UNISMA, 2016. Cet. Ke-3. Hodgson, Marshall G.S. The Venture of Islam, terj. Jakarta: Paramadina, 2002.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Ibn ‘Arabi, Fushus al-Hikam. Beirut: Dar al-Kitab al-‘Arabi, 1980. Luthfi, Khabibi Muhammad “Islam Nusantara: Relasi Islam dan Budaya Lokal,” dalam Jurnal Shahih, Vol. 1, Nomor 1, Januari-Juni 2016 ISSN: 2527-8118 (p); 2527-8126 (e) LP2M IAIN Surakarta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Nasr, Seyyed Hossein, Knowledge and the Sacred. New York: State University of New York Press, 1989.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Nasr, Seyyed Hossein, The Encounter of Man and Nature: The Spiritual Crisis of Modern Man, London: Allen and Unwin, 1968, diterjemahkan ke dalam bahasa Indonesia oleh Ali Noer Zaman, Antara Tuhan, Manusia dan Alam: Jembatan Filosofis dan Religius Menuju Puncak Spiritual, Yogyakarta: IRCiSoD, 2003.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lastRenderedPageBreak/>
        <w:t xml:space="preserve">Nasr, Seyyed Hossein. Religion and the Order of Nature. New York: Oxford University Press, 1996.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Qomar, Mujamil “Islam Nusantara: Sebuah Alternatif Model Pemikiran, Pemahaman, dan Pengamalan Islam”, dalam el Harakah Vol.17 No.2 Tahun 2015 Sahal, Ahmad “Prolog: Kenapa Islam Nusantara”, dalam Akhmad Sahal (ed.), Islam Nusantara: Dari Ushul Fiqh Hingga Paham Kebangsaan. Bandung: Mizan, 2015.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Siraj, Saiq Aqil. Tasawuf Sebagai Kritik Sosial. Bandung: Mizan, 2006.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 xml:space="preserve">Wiguna, Alivermana. Isu-isu Kontemporer Pendidikan Islam. Yogyakarta:Deepublish, 2014. </w:t>
      </w:r>
    </w:p>
    <w:p w:rsidR="00836AD6" w:rsidRPr="00836AD6" w:rsidRDefault="00836AD6" w:rsidP="00BA6ADF">
      <w:pPr>
        <w:spacing w:after="0" w:line="360" w:lineRule="auto"/>
        <w:ind w:left="1701" w:hanging="1134"/>
        <w:jc w:val="both"/>
        <w:rPr>
          <w:rFonts w:asciiTheme="majorBidi" w:hAnsiTheme="majorBidi" w:cstheme="majorBidi"/>
          <w:sz w:val="24"/>
          <w:szCs w:val="24"/>
        </w:rPr>
      </w:pPr>
      <w:r w:rsidRPr="00836AD6">
        <w:rPr>
          <w:rFonts w:asciiTheme="majorBidi" w:hAnsiTheme="majorBidi" w:cstheme="majorBidi"/>
          <w:sz w:val="24"/>
          <w:szCs w:val="24"/>
        </w:rPr>
        <w:t>Yunasril Ali, Sufisme dan pluralisme: Memahami Hakikat Agama dan Relasi Agama-agama. Jakarta: PT Elex Media Komputindo, 2012.</w:t>
      </w:r>
    </w:p>
    <w:p w:rsidR="00836AD6" w:rsidRPr="00836AD6" w:rsidRDefault="00836AD6" w:rsidP="00836AD6">
      <w:pPr>
        <w:spacing w:after="0"/>
        <w:jc w:val="both"/>
        <w:rPr>
          <w:rFonts w:asciiTheme="majorBidi" w:hAnsiTheme="majorBidi" w:cstheme="majorBidi"/>
          <w:sz w:val="24"/>
          <w:szCs w:val="24"/>
        </w:rPr>
      </w:pPr>
    </w:p>
    <w:p w:rsidR="00836AD6" w:rsidRPr="00836AD6" w:rsidRDefault="00836AD6" w:rsidP="00836AD6">
      <w:pPr>
        <w:spacing w:after="0"/>
        <w:jc w:val="both"/>
        <w:rPr>
          <w:rFonts w:asciiTheme="majorBidi" w:hAnsiTheme="majorBidi" w:cstheme="majorBidi"/>
          <w:sz w:val="24"/>
          <w:szCs w:val="24"/>
        </w:rPr>
      </w:pPr>
    </w:p>
    <w:sectPr w:rsidR="00836AD6" w:rsidRPr="00836AD6" w:rsidSect="00836AD6">
      <w:headerReference w:type="default" r:id="rId6"/>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127" w:rsidRDefault="002C4127" w:rsidP="00816FB5">
      <w:pPr>
        <w:spacing w:after="0" w:line="240" w:lineRule="auto"/>
      </w:pPr>
      <w:r>
        <w:separator/>
      </w:r>
    </w:p>
  </w:endnote>
  <w:endnote w:type="continuationSeparator" w:id="0">
    <w:p w:rsidR="002C4127" w:rsidRDefault="002C4127" w:rsidP="00816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127" w:rsidRDefault="002C4127" w:rsidP="00816FB5">
      <w:pPr>
        <w:spacing w:after="0" w:line="240" w:lineRule="auto"/>
      </w:pPr>
      <w:r>
        <w:separator/>
      </w:r>
    </w:p>
  </w:footnote>
  <w:footnote w:type="continuationSeparator" w:id="0">
    <w:p w:rsidR="002C4127" w:rsidRDefault="002C4127" w:rsidP="00816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9406"/>
      <w:docPartObj>
        <w:docPartGallery w:val="Page Numbers (Top of Page)"/>
        <w:docPartUnique/>
      </w:docPartObj>
    </w:sdtPr>
    <w:sdtEndPr>
      <w:rPr>
        <w:noProof/>
      </w:rPr>
    </w:sdtEndPr>
    <w:sdtContent>
      <w:p w:rsidR="00816FB5" w:rsidRDefault="00816FB5">
        <w:pPr>
          <w:pStyle w:val="Header"/>
          <w:jc w:val="right"/>
        </w:pPr>
        <w:r>
          <w:fldChar w:fldCharType="begin"/>
        </w:r>
        <w:r>
          <w:instrText xml:space="preserve"> PAGE   \* MERGEFORMAT </w:instrText>
        </w:r>
        <w:r>
          <w:fldChar w:fldCharType="separate"/>
        </w:r>
        <w:r w:rsidR="009F0821">
          <w:rPr>
            <w:noProof/>
          </w:rPr>
          <w:t>10</w:t>
        </w:r>
        <w:r>
          <w:rPr>
            <w:noProof/>
          </w:rPr>
          <w:fldChar w:fldCharType="end"/>
        </w:r>
      </w:p>
    </w:sdtContent>
  </w:sdt>
  <w:p w:rsidR="00816FB5" w:rsidRDefault="00816F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D6"/>
    <w:rsid w:val="00167299"/>
    <w:rsid w:val="00201A1A"/>
    <w:rsid w:val="00227DC4"/>
    <w:rsid w:val="002600B1"/>
    <w:rsid w:val="002C4127"/>
    <w:rsid w:val="002D7550"/>
    <w:rsid w:val="00303411"/>
    <w:rsid w:val="003E743A"/>
    <w:rsid w:val="00490AC9"/>
    <w:rsid w:val="004A06C5"/>
    <w:rsid w:val="005E123B"/>
    <w:rsid w:val="00652120"/>
    <w:rsid w:val="006A5605"/>
    <w:rsid w:val="00816FB5"/>
    <w:rsid w:val="00836AD6"/>
    <w:rsid w:val="00900EB1"/>
    <w:rsid w:val="009F0821"/>
    <w:rsid w:val="009F3964"/>
    <w:rsid w:val="00B65A6B"/>
    <w:rsid w:val="00BA6ADF"/>
    <w:rsid w:val="00CB69BF"/>
    <w:rsid w:val="00D27B71"/>
    <w:rsid w:val="00E23673"/>
    <w:rsid w:val="00F17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9871D-EAB6-429F-9F3B-8E88179C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36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836AD6"/>
    <w:rPr>
      <w:rFonts w:ascii="Courier New" w:eastAsia="Times New Roman" w:hAnsi="Courier New" w:cs="Courier New"/>
      <w:sz w:val="20"/>
      <w:szCs w:val="20"/>
      <w:lang w:eastAsia="id-ID"/>
    </w:rPr>
  </w:style>
  <w:style w:type="character" w:customStyle="1" w:styleId="y2iqfc">
    <w:name w:val="y2iqfc"/>
    <w:basedOn w:val="DefaultParagraphFont"/>
    <w:rsid w:val="00836AD6"/>
  </w:style>
  <w:style w:type="paragraph" w:styleId="ListParagraph">
    <w:name w:val="List Paragraph"/>
    <w:basedOn w:val="Normal"/>
    <w:uiPriority w:val="34"/>
    <w:qFormat/>
    <w:rsid w:val="00836AD6"/>
    <w:pPr>
      <w:spacing w:after="200" w:line="276" w:lineRule="auto"/>
      <w:ind w:left="720"/>
      <w:contextualSpacing/>
    </w:pPr>
    <w:rPr>
      <w:lang w:val="en-US"/>
    </w:rPr>
  </w:style>
  <w:style w:type="paragraph" w:styleId="Header">
    <w:name w:val="header"/>
    <w:basedOn w:val="Normal"/>
    <w:link w:val="HeaderChar"/>
    <w:uiPriority w:val="99"/>
    <w:unhideWhenUsed/>
    <w:rsid w:val="00816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FB5"/>
  </w:style>
  <w:style w:type="paragraph" w:styleId="Footer">
    <w:name w:val="footer"/>
    <w:basedOn w:val="Normal"/>
    <w:link w:val="FooterChar"/>
    <w:uiPriority w:val="99"/>
    <w:unhideWhenUsed/>
    <w:rsid w:val="00816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434169">
      <w:bodyDiv w:val="1"/>
      <w:marLeft w:val="0"/>
      <w:marRight w:val="0"/>
      <w:marTop w:val="0"/>
      <w:marBottom w:val="0"/>
      <w:divBdr>
        <w:top w:val="none" w:sz="0" w:space="0" w:color="auto"/>
        <w:left w:val="none" w:sz="0" w:space="0" w:color="auto"/>
        <w:bottom w:val="none" w:sz="0" w:space="0" w:color="auto"/>
        <w:right w:val="none" w:sz="0" w:space="0" w:color="auto"/>
      </w:divBdr>
    </w:div>
    <w:div w:id="724573084">
      <w:bodyDiv w:val="1"/>
      <w:marLeft w:val="0"/>
      <w:marRight w:val="0"/>
      <w:marTop w:val="0"/>
      <w:marBottom w:val="0"/>
      <w:divBdr>
        <w:top w:val="none" w:sz="0" w:space="0" w:color="auto"/>
        <w:left w:val="none" w:sz="0" w:space="0" w:color="auto"/>
        <w:bottom w:val="none" w:sz="0" w:space="0" w:color="auto"/>
        <w:right w:val="none" w:sz="0" w:space="0" w:color="auto"/>
      </w:divBdr>
    </w:div>
    <w:div w:id="784352286">
      <w:bodyDiv w:val="1"/>
      <w:marLeft w:val="0"/>
      <w:marRight w:val="0"/>
      <w:marTop w:val="0"/>
      <w:marBottom w:val="0"/>
      <w:divBdr>
        <w:top w:val="none" w:sz="0" w:space="0" w:color="auto"/>
        <w:left w:val="none" w:sz="0" w:space="0" w:color="auto"/>
        <w:bottom w:val="none" w:sz="0" w:space="0" w:color="auto"/>
        <w:right w:val="none" w:sz="0" w:space="0" w:color="auto"/>
      </w:divBdr>
    </w:div>
    <w:div w:id="847519476">
      <w:bodyDiv w:val="1"/>
      <w:marLeft w:val="0"/>
      <w:marRight w:val="0"/>
      <w:marTop w:val="0"/>
      <w:marBottom w:val="0"/>
      <w:divBdr>
        <w:top w:val="none" w:sz="0" w:space="0" w:color="auto"/>
        <w:left w:val="none" w:sz="0" w:space="0" w:color="auto"/>
        <w:bottom w:val="none" w:sz="0" w:space="0" w:color="auto"/>
        <w:right w:val="none" w:sz="0" w:space="0" w:color="auto"/>
      </w:divBdr>
    </w:div>
    <w:div w:id="1027100947">
      <w:bodyDiv w:val="1"/>
      <w:marLeft w:val="0"/>
      <w:marRight w:val="0"/>
      <w:marTop w:val="0"/>
      <w:marBottom w:val="0"/>
      <w:divBdr>
        <w:top w:val="none" w:sz="0" w:space="0" w:color="auto"/>
        <w:left w:val="none" w:sz="0" w:space="0" w:color="auto"/>
        <w:bottom w:val="none" w:sz="0" w:space="0" w:color="auto"/>
        <w:right w:val="none" w:sz="0" w:space="0" w:color="auto"/>
      </w:divBdr>
    </w:div>
    <w:div w:id="1387220012">
      <w:bodyDiv w:val="1"/>
      <w:marLeft w:val="0"/>
      <w:marRight w:val="0"/>
      <w:marTop w:val="0"/>
      <w:marBottom w:val="0"/>
      <w:divBdr>
        <w:top w:val="none" w:sz="0" w:space="0" w:color="auto"/>
        <w:left w:val="none" w:sz="0" w:space="0" w:color="auto"/>
        <w:bottom w:val="none" w:sz="0" w:space="0" w:color="auto"/>
        <w:right w:val="none" w:sz="0" w:space="0" w:color="auto"/>
      </w:divBdr>
    </w:div>
    <w:div w:id="1485849283">
      <w:bodyDiv w:val="1"/>
      <w:marLeft w:val="0"/>
      <w:marRight w:val="0"/>
      <w:marTop w:val="0"/>
      <w:marBottom w:val="0"/>
      <w:divBdr>
        <w:top w:val="none" w:sz="0" w:space="0" w:color="auto"/>
        <w:left w:val="none" w:sz="0" w:space="0" w:color="auto"/>
        <w:bottom w:val="none" w:sz="0" w:space="0" w:color="auto"/>
        <w:right w:val="none" w:sz="0" w:space="0" w:color="auto"/>
      </w:divBdr>
    </w:div>
    <w:div w:id="1557427026">
      <w:bodyDiv w:val="1"/>
      <w:marLeft w:val="0"/>
      <w:marRight w:val="0"/>
      <w:marTop w:val="0"/>
      <w:marBottom w:val="0"/>
      <w:divBdr>
        <w:top w:val="none" w:sz="0" w:space="0" w:color="auto"/>
        <w:left w:val="none" w:sz="0" w:space="0" w:color="auto"/>
        <w:bottom w:val="none" w:sz="0" w:space="0" w:color="auto"/>
        <w:right w:val="none" w:sz="0" w:space="0" w:color="auto"/>
      </w:divBdr>
    </w:div>
    <w:div w:id="1750926718">
      <w:bodyDiv w:val="1"/>
      <w:marLeft w:val="0"/>
      <w:marRight w:val="0"/>
      <w:marTop w:val="0"/>
      <w:marBottom w:val="0"/>
      <w:divBdr>
        <w:top w:val="none" w:sz="0" w:space="0" w:color="auto"/>
        <w:left w:val="none" w:sz="0" w:space="0" w:color="auto"/>
        <w:bottom w:val="none" w:sz="0" w:space="0" w:color="auto"/>
        <w:right w:val="none" w:sz="0" w:space="0" w:color="auto"/>
      </w:divBdr>
    </w:div>
    <w:div w:id="17845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3656</Words>
  <Characters>20840</Characters>
  <Application>Microsoft Office Word</Application>
  <DocSecurity>0</DocSecurity>
  <Lines>173</Lines>
  <Paragraphs>48</Paragraphs>
  <ScaleCrop>false</ScaleCrop>
  <Company/>
  <LinksUpToDate>false</LinksUpToDate>
  <CharactersWithSpaces>24448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dc:creator>
  <cp:keywords/>
  <dc:description/>
  <cp:lastModifiedBy>xio</cp:lastModifiedBy>
  <cp:revision>4</cp:revision>
  <dcterms:created xsi:type="dcterms:W3CDTF">2022-07-25T22:12:00Z</dcterms:created>
  <dcterms:modified xsi:type="dcterms:W3CDTF">2022-07-26T01:10:00Z</dcterms:modified>
</cp:coreProperties>
</file>