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A3F2F" w14:textId="521F4A79" w:rsidR="00E242DA" w:rsidRPr="00641BED" w:rsidRDefault="00E242DA">
      <w:pPr>
        <w:pStyle w:val="BodyText"/>
        <w:ind w:left="103"/>
        <w:jc w:val="left"/>
        <w:rPr>
          <w:rFonts w:asciiTheme="majorHAnsi" w:hAnsiTheme="majorHAnsi"/>
        </w:rPr>
      </w:pPr>
    </w:p>
    <w:p w14:paraId="63D6CF41" w14:textId="77777777" w:rsidR="00E242DA" w:rsidRPr="00641BED" w:rsidRDefault="00E242DA">
      <w:pPr>
        <w:pStyle w:val="BodyText"/>
        <w:spacing w:before="7"/>
        <w:ind w:left="0"/>
        <w:jc w:val="left"/>
        <w:rPr>
          <w:rFonts w:asciiTheme="majorHAnsi" w:hAnsiTheme="majorHAnsi"/>
          <w:sz w:val="19"/>
        </w:rPr>
      </w:pPr>
    </w:p>
    <w:p w14:paraId="42D9E102" w14:textId="1578E165" w:rsidR="00E242DA" w:rsidRPr="005D2D97" w:rsidRDefault="000E7583" w:rsidP="005D2D97">
      <w:pPr>
        <w:pStyle w:val="Title"/>
        <w:spacing w:line="204" w:lineRule="auto"/>
        <w:ind w:right="3"/>
        <w:jc w:val="center"/>
        <w:rPr>
          <w:rFonts w:ascii="Times New Roman" w:hAnsi="Times New Roman" w:cs="Times New Roman"/>
          <w:noProof/>
          <w:sz w:val="28"/>
          <w:szCs w:val="28"/>
          <w:lang w:val="id-ID"/>
        </w:rPr>
      </w:pPr>
      <w:r w:rsidRPr="005D2D97">
        <w:rPr>
          <w:rFonts w:ascii="Times New Roman" w:eastAsia="Calisto MT" w:hAnsi="Times New Roman" w:cs="Times New Roman"/>
          <w:sz w:val="28"/>
          <w:szCs w:val="28"/>
        </w:rPr>
        <w:t>Development of Android Media in Learning Islamic Religious Education and Character by Believing in Allah's Books for Class VIII Students</w:t>
      </w:r>
    </w:p>
    <w:p w14:paraId="3B99CEE3" w14:textId="77777777" w:rsidR="00E242DA" w:rsidRPr="00641BED" w:rsidRDefault="00E242DA">
      <w:pPr>
        <w:pStyle w:val="BodyText"/>
        <w:spacing w:before="2"/>
        <w:ind w:left="0"/>
        <w:jc w:val="left"/>
        <w:rPr>
          <w:rFonts w:asciiTheme="majorHAnsi" w:hAnsiTheme="majorHAnsi"/>
          <w:b/>
          <w:sz w:val="23"/>
        </w:rPr>
      </w:pPr>
    </w:p>
    <w:p w14:paraId="16A2A70B" w14:textId="51B32917" w:rsidR="00E242DA" w:rsidRPr="00E26C4E" w:rsidRDefault="000E7583" w:rsidP="005D2D97">
      <w:pPr>
        <w:pStyle w:val="BodyText"/>
        <w:jc w:val="center"/>
        <w:rPr>
          <w:rFonts w:ascii="Times New Roman" w:hAnsi="Times New Roman" w:cs="Times New Roman"/>
          <w:b/>
          <w:sz w:val="22"/>
          <w:szCs w:val="22"/>
        </w:rPr>
      </w:pPr>
      <w:r w:rsidRPr="00E26C4E">
        <w:rPr>
          <w:rFonts w:ascii="Times New Roman" w:eastAsia="Calisto MT" w:hAnsi="Times New Roman" w:cs="Times New Roman"/>
          <w:b/>
          <w:bCs/>
          <w:sz w:val="22"/>
          <w:szCs w:val="22"/>
        </w:rPr>
        <w:t>Achmad Munib</w:t>
      </w:r>
      <w:r w:rsidRPr="00E26C4E">
        <w:rPr>
          <w:rFonts w:ascii="Times New Roman" w:hAnsi="Times New Roman" w:cs="Times New Roman"/>
          <w:b/>
          <w:w w:val="95"/>
          <w:position w:val="7"/>
          <w:sz w:val="22"/>
          <w:szCs w:val="22"/>
        </w:rPr>
        <w:t>1</w:t>
      </w:r>
      <w:r w:rsidRPr="00E26C4E">
        <w:rPr>
          <w:rFonts w:ascii="Times New Roman" w:hAnsi="Times New Roman" w:cs="Times New Roman"/>
          <w:b/>
          <w:w w:val="95"/>
          <w:sz w:val="22"/>
          <w:szCs w:val="22"/>
        </w:rPr>
        <w:t>,</w:t>
      </w:r>
      <w:r w:rsidRPr="00E26C4E">
        <w:rPr>
          <w:rFonts w:ascii="Times New Roman" w:hAnsi="Times New Roman" w:cs="Times New Roman"/>
          <w:b/>
          <w:spacing w:val="15"/>
          <w:w w:val="95"/>
          <w:sz w:val="22"/>
          <w:szCs w:val="22"/>
        </w:rPr>
        <w:t xml:space="preserve"> </w:t>
      </w:r>
      <w:r w:rsidRPr="00E26C4E">
        <w:rPr>
          <w:rFonts w:ascii="Times New Roman" w:eastAsia="Calisto MT" w:hAnsi="Times New Roman" w:cs="Times New Roman"/>
          <w:b/>
          <w:bCs/>
          <w:sz w:val="22"/>
          <w:szCs w:val="22"/>
        </w:rPr>
        <w:t>Aris Abdul Ghoni</w:t>
      </w:r>
      <w:r w:rsidRPr="00E26C4E">
        <w:rPr>
          <w:rFonts w:ascii="Times New Roman" w:hAnsi="Times New Roman" w:cs="Times New Roman"/>
          <w:b/>
          <w:w w:val="95"/>
          <w:position w:val="7"/>
          <w:sz w:val="22"/>
          <w:szCs w:val="22"/>
        </w:rPr>
        <w:t>2</w:t>
      </w:r>
      <w:r w:rsidRPr="00E26C4E">
        <w:rPr>
          <w:rFonts w:ascii="Times New Roman" w:hAnsi="Times New Roman" w:cs="Times New Roman"/>
          <w:b/>
          <w:w w:val="95"/>
          <w:sz w:val="22"/>
          <w:szCs w:val="22"/>
        </w:rPr>
        <w:t>,</w:t>
      </w:r>
      <w:r w:rsidRPr="00E26C4E">
        <w:rPr>
          <w:rFonts w:ascii="Times New Roman" w:hAnsi="Times New Roman" w:cs="Times New Roman"/>
          <w:b/>
          <w:spacing w:val="15"/>
          <w:w w:val="95"/>
          <w:sz w:val="22"/>
          <w:szCs w:val="22"/>
        </w:rPr>
        <w:t xml:space="preserve"> </w:t>
      </w:r>
      <w:r w:rsidRPr="00E26C4E">
        <w:rPr>
          <w:rFonts w:ascii="Times New Roman" w:eastAsia="Calisto MT" w:hAnsi="Times New Roman" w:cs="Times New Roman"/>
          <w:b/>
          <w:bCs/>
          <w:sz w:val="22"/>
          <w:szCs w:val="22"/>
        </w:rPr>
        <w:t>Mustagfirin</w:t>
      </w:r>
      <w:r w:rsidRPr="00E26C4E">
        <w:rPr>
          <w:rFonts w:ascii="Times New Roman" w:hAnsi="Times New Roman" w:cs="Times New Roman"/>
          <w:b/>
          <w:w w:val="95"/>
          <w:position w:val="7"/>
          <w:sz w:val="22"/>
          <w:szCs w:val="22"/>
        </w:rPr>
        <w:t>3</w:t>
      </w:r>
      <w:r w:rsidR="005D2D97" w:rsidRPr="00E26C4E">
        <w:rPr>
          <w:rFonts w:ascii="Times New Roman" w:hAnsi="Times New Roman" w:cs="Times New Roman"/>
          <w:b/>
          <w:w w:val="95"/>
          <w:position w:val="7"/>
          <w:sz w:val="22"/>
          <w:szCs w:val="22"/>
        </w:rPr>
        <w:t>*</w:t>
      </w:r>
    </w:p>
    <w:p w14:paraId="205FA100" w14:textId="00A7B7E0" w:rsidR="000E7583" w:rsidRPr="005D2D97" w:rsidRDefault="00E26C4E" w:rsidP="005D2D97">
      <w:pPr>
        <w:pStyle w:val="BodyText"/>
        <w:jc w:val="center"/>
        <w:rPr>
          <w:rFonts w:ascii="Times New Roman" w:hAnsi="Times New Roman" w:cs="Times New Roman"/>
          <w:sz w:val="22"/>
          <w:szCs w:val="22"/>
        </w:rPr>
      </w:pPr>
      <w:r>
        <w:rPr>
          <w:rFonts w:ascii="Times New Roman" w:hAnsi="Times New Roman" w:cs="Times New Roman"/>
          <w:sz w:val="22"/>
          <w:szCs w:val="22"/>
        </w:rPr>
        <w:t>Program Studi Agama Islam</w:t>
      </w:r>
    </w:p>
    <w:p w14:paraId="78EF1CE5" w14:textId="0F592B63" w:rsidR="00E242DA" w:rsidRPr="005D2D97" w:rsidRDefault="00E26C4E" w:rsidP="005D2D97">
      <w:pPr>
        <w:pStyle w:val="BodyText"/>
        <w:ind w:left="0" w:firstLine="142"/>
        <w:jc w:val="center"/>
        <w:rPr>
          <w:rFonts w:ascii="Times New Roman" w:hAnsi="Times New Roman" w:cs="Times New Roman"/>
          <w:sz w:val="22"/>
          <w:szCs w:val="22"/>
        </w:rPr>
      </w:pPr>
      <w:r>
        <w:rPr>
          <w:rFonts w:ascii="Times New Roman" w:hAnsi="Times New Roman" w:cs="Times New Roman"/>
          <w:sz w:val="22"/>
          <w:szCs w:val="22"/>
        </w:rPr>
        <w:t>Program Studi Teknik Informatika</w:t>
      </w:r>
    </w:p>
    <w:p w14:paraId="39A465D9" w14:textId="77777777" w:rsidR="00E26C4E" w:rsidRDefault="005D2D97" w:rsidP="005D2D97">
      <w:pPr>
        <w:ind w:right="3"/>
        <w:jc w:val="center"/>
        <w:rPr>
          <w:rFonts w:ascii="Times New Roman" w:hAnsi="Times New Roman" w:cs="Times New Roman"/>
        </w:rPr>
      </w:pPr>
      <w:r w:rsidRPr="005D2D97">
        <w:rPr>
          <w:rFonts w:ascii="Times New Roman" w:hAnsi="Times New Roman" w:cs="Times New Roman"/>
        </w:rPr>
        <w:t>Universitas</w:t>
      </w:r>
      <w:r w:rsidRPr="005D2D97">
        <w:rPr>
          <w:rFonts w:ascii="Times New Roman" w:hAnsi="Times New Roman" w:cs="Times New Roman"/>
          <w:spacing w:val="-5"/>
        </w:rPr>
        <w:t xml:space="preserve"> </w:t>
      </w:r>
      <w:r w:rsidRPr="005D2D97">
        <w:rPr>
          <w:rFonts w:ascii="Times New Roman" w:hAnsi="Times New Roman" w:cs="Times New Roman"/>
        </w:rPr>
        <w:t>Wahid</w:t>
      </w:r>
      <w:r w:rsidRPr="005D2D97">
        <w:rPr>
          <w:rFonts w:ascii="Times New Roman" w:hAnsi="Times New Roman" w:cs="Times New Roman"/>
          <w:spacing w:val="-4"/>
        </w:rPr>
        <w:t xml:space="preserve"> </w:t>
      </w:r>
      <w:r w:rsidRPr="005D2D97">
        <w:rPr>
          <w:rFonts w:ascii="Times New Roman" w:hAnsi="Times New Roman" w:cs="Times New Roman"/>
        </w:rPr>
        <w:t xml:space="preserve">Hasyim </w:t>
      </w:r>
    </w:p>
    <w:p w14:paraId="4033ADA1" w14:textId="72E3FF2F" w:rsidR="005D2D97" w:rsidRDefault="005D2D97" w:rsidP="005D2D97">
      <w:pPr>
        <w:ind w:right="3"/>
        <w:jc w:val="center"/>
        <w:rPr>
          <w:rFonts w:ascii="Times New Roman" w:hAnsi="Times New Roman" w:cs="Times New Roman"/>
        </w:rPr>
      </w:pPr>
      <w:r w:rsidRPr="005D2D97">
        <w:rPr>
          <w:rFonts w:ascii="Times New Roman" w:hAnsi="Times New Roman" w:cs="Times New Roman"/>
        </w:rPr>
        <w:t>Jl. Menoreh Tengah X/22, Sampangan, Semarang 50236.</w:t>
      </w:r>
    </w:p>
    <w:p w14:paraId="44A70CB9" w14:textId="12916724" w:rsidR="00E26C4E" w:rsidRPr="005D2D97" w:rsidRDefault="00E26C4E" w:rsidP="00E26C4E">
      <w:pPr>
        <w:ind w:right="3"/>
        <w:jc w:val="center"/>
        <w:rPr>
          <w:rFonts w:ascii="Times New Roman" w:hAnsi="Times New Roman" w:cs="Times New Roman"/>
        </w:rPr>
      </w:pPr>
      <w:r w:rsidRPr="00E26C4E">
        <w:rPr>
          <w:rFonts w:ascii="Times New Roman" w:hAnsi="Times New Roman" w:cs="Times New Roman"/>
        </w:rPr>
        <w:t xml:space="preserve">Jl. Raya Manyaran-Gunungpati, Nongkosawit, Kec. </w:t>
      </w:r>
      <w:r w:rsidRPr="00E26C4E">
        <w:rPr>
          <w:rFonts w:ascii="Times New Roman" w:hAnsi="Times New Roman" w:cs="Times New Roman"/>
        </w:rPr>
        <w:t>Gunungpati</w:t>
      </w:r>
      <w:r w:rsidRPr="00E26C4E">
        <w:rPr>
          <w:rFonts w:ascii="Times New Roman" w:hAnsi="Times New Roman" w:cs="Times New Roman"/>
        </w:rPr>
        <w:t>, Semarang 50224</w:t>
      </w:r>
      <w:r w:rsidRPr="005D2D97">
        <w:rPr>
          <w:rFonts w:ascii="Times New Roman" w:hAnsi="Times New Roman" w:cs="Times New Roman"/>
        </w:rPr>
        <w:t>.</w:t>
      </w:r>
    </w:p>
    <w:p w14:paraId="1CE1A9AD" w14:textId="1998E084" w:rsidR="005D2D97" w:rsidRPr="005D2D97" w:rsidRDefault="005D2D97" w:rsidP="005D2D97">
      <w:pPr>
        <w:ind w:left="1397" w:right="1116"/>
        <w:jc w:val="center"/>
        <w:rPr>
          <w:rFonts w:ascii="Times New Roman" w:hAnsi="Times New Roman" w:cs="Times New Roman"/>
        </w:rPr>
      </w:pPr>
      <w:r w:rsidRPr="005D2D97">
        <w:rPr>
          <w:rFonts w:ascii="Times New Roman" w:hAnsi="Times New Roman" w:cs="Times New Roman"/>
          <w:vertAlign w:val="superscript"/>
        </w:rPr>
        <w:t>*</w:t>
      </w:r>
      <w:r w:rsidRPr="005D2D97">
        <w:rPr>
          <w:rFonts w:ascii="Times New Roman" w:hAnsi="Times New Roman" w:cs="Times New Roman"/>
        </w:rPr>
        <w:t>Email:</w:t>
      </w:r>
      <w:r w:rsidRPr="005D2D97">
        <w:rPr>
          <w:rFonts w:ascii="Times New Roman" w:hAnsi="Times New Roman" w:cs="Times New Roman"/>
          <w:spacing w:val="-8"/>
        </w:rPr>
        <w:t xml:space="preserve"> </w:t>
      </w:r>
      <w:hyperlink r:id="rId8" w:history="1">
        <w:r w:rsidRPr="005D2D97">
          <w:rPr>
            <w:rStyle w:val="Hyperlink"/>
            <w:rFonts w:ascii="Times New Roman" w:hAnsi="Times New Roman" w:cs="Times New Roman"/>
            <w:spacing w:val="-2"/>
          </w:rPr>
          <w:t>mustagfirin@</w:t>
        </w:r>
      </w:hyperlink>
      <w:r w:rsidRPr="005D2D97">
        <w:rPr>
          <w:rFonts w:ascii="Times New Roman" w:hAnsi="Times New Roman" w:cs="Times New Roman"/>
          <w:spacing w:val="-2"/>
        </w:rPr>
        <w:t>unwahas.ac.id</w:t>
      </w:r>
    </w:p>
    <w:p w14:paraId="60BE3D3B" w14:textId="6BBA7DEB" w:rsidR="00E242DA" w:rsidRPr="00641BED" w:rsidRDefault="00E242DA">
      <w:pPr>
        <w:pStyle w:val="BodyText"/>
        <w:spacing w:before="1"/>
        <w:ind w:left="0"/>
        <w:jc w:val="left"/>
        <w:rPr>
          <w:rFonts w:asciiTheme="majorHAnsi" w:hAnsiTheme="majorHAnsi"/>
        </w:rPr>
      </w:pPr>
    </w:p>
    <w:p w14:paraId="6F178C12" w14:textId="77777777" w:rsidR="00E26C4E" w:rsidRDefault="00E26C4E">
      <w:pPr>
        <w:spacing w:line="244" w:lineRule="auto"/>
        <w:jc w:val="both"/>
        <w:rPr>
          <w:rFonts w:asciiTheme="majorHAnsi" w:hAnsiTheme="majorHAnsi"/>
          <w:sz w:val="18"/>
        </w:rPr>
      </w:pPr>
    </w:p>
    <w:p w14:paraId="1A9DE930" w14:textId="387359F9" w:rsidR="00E26C4E" w:rsidRPr="00E26C4E" w:rsidRDefault="00E26C4E" w:rsidP="00E26C4E">
      <w:pPr>
        <w:pStyle w:val="TableParagraph"/>
        <w:tabs>
          <w:tab w:val="left" w:pos="2383"/>
        </w:tabs>
        <w:spacing w:before="43" w:line="204" w:lineRule="auto"/>
        <w:ind w:left="285" w:right="71"/>
        <w:jc w:val="center"/>
        <w:rPr>
          <w:rFonts w:ascii="Times New Roman" w:eastAsia="Calisto MT" w:hAnsi="Times New Roman" w:cs="Times New Roman"/>
          <w:sz w:val="20"/>
          <w:szCs w:val="20"/>
        </w:rPr>
      </w:pPr>
      <w:r w:rsidRPr="00E26C4E">
        <w:rPr>
          <w:rFonts w:ascii="Times New Roman" w:hAnsi="Times New Roman" w:cs="Times New Roman"/>
          <w:b/>
          <w:bCs/>
          <w:sz w:val="20"/>
          <w:szCs w:val="20"/>
        </w:rPr>
        <w:t>Abstract</w:t>
      </w:r>
    </w:p>
    <w:p w14:paraId="59D8F130" w14:textId="370791DB" w:rsidR="00E26C4E" w:rsidRPr="00E26C4E" w:rsidRDefault="00E26C4E" w:rsidP="00E26C4E">
      <w:pPr>
        <w:pStyle w:val="TableParagraph"/>
        <w:tabs>
          <w:tab w:val="left" w:pos="2383"/>
        </w:tabs>
        <w:spacing w:before="43" w:line="204" w:lineRule="auto"/>
        <w:ind w:left="285" w:right="71"/>
        <w:jc w:val="both"/>
        <w:rPr>
          <w:rFonts w:ascii="Times New Roman" w:hAnsi="Times New Roman" w:cs="Times New Roman"/>
          <w:i/>
          <w:sz w:val="20"/>
          <w:szCs w:val="20"/>
          <w:lang w:val="id-ID"/>
        </w:rPr>
      </w:pPr>
      <w:r w:rsidRPr="00E26C4E">
        <w:rPr>
          <w:rFonts w:ascii="Times New Roman" w:eastAsia="Calisto MT" w:hAnsi="Times New Roman" w:cs="Times New Roman"/>
          <w:i/>
          <w:sz w:val="20"/>
          <w:szCs w:val="20"/>
        </w:rPr>
        <w:t>A communication tool and source of information in learning, one of which is the use of Learning Media. This requires careful teacher position in selecting the use of media in the educational process to be able to increase student motivation in learning with the benefits of learning, namely: 1) the educational process becomes more interesting, 2) the learning process becomes more efficient and effective, 3) saves energy and time . In reality, in Islamic Religion and Character lessons with the material of Believing in Allah's Books, students often experience difficulties in learning this knowledge. Difficulties faced by students in studying Islamic Religion and Character lessons with the material of Believing in Allah's Books. Based on the results of surveys and observations at SMPN 2 Dempet Demak, it was revealed that the main challenges faced by students regarding understanding the material "Understanding the Books of Allah" at school were due to several factors. One of them is the difficulty in capturing the essence of the material presented in books and presentation slides. The traditional teaching approach by teachers is also a major factor in reducing students' enthusiasm and motivation for learning. The increasingly varied use of media is a challenge for teachers in carrying out their duties as teachers in schools in order to achieve learning goals. The use of smartphones which are easy to carry, easy to access and affordable as a medium for learning will have a big impact on students. Apart from facilities that are relatively new, students will be more interested in using facilities that are "current" and familiar to students' situations in everyday</w:t>
      </w:r>
      <w:r w:rsidRPr="00E26C4E">
        <w:rPr>
          <w:rFonts w:ascii="Times New Roman" w:hAnsi="Times New Roman" w:cs="Times New Roman"/>
          <w:i/>
          <w:sz w:val="20"/>
          <w:szCs w:val="20"/>
          <w:lang w:val="id-ID"/>
        </w:rPr>
        <w:t>.</w:t>
      </w:r>
    </w:p>
    <w:p w14:paraId="045C71B1" w14:textId="77777777" w:rsidR="00E26C4E" w:rsidRDefault="00E26C4E" w:rsidP="00E26C4E">
      <w:pPr>
        <w:pStyle w:val="TableParagraph"/>
        <w:tabs>
          <w:tab w:val="left" w:pos="2383"/>
        </w:tabs>
        <w:spacing w:before="43" w:line="204" w:lineRule="auto"/>
        <w:ind w:left="285" w:right="71"/>
        <w:jc w:val="both"/>
        <w:rPr>
          <w:rFonts w:ascii="Times New Roman" w:hAnsi="Times New Roman" w:cs="Times New Roman"/>
          <w:sz w:val="20"/>
          <w:szCs w:val="20"/>
          <w:lang w:val="id-ID"/>
        </w:rPr>
      </w:pPr>
    </w:p>
    <w:p w14:paraId="6982480C" w14:textId="372986E3" w:rsidR="00E26C4E" w:rsidRPr="00E26C4E" w:rsidRDefault="00E26C4E" w:rsidP="00E26C4E">
      <w:pPr>
        <w:pStyle w:val="TableParagraph"/>
        <w:tabs>
          <w:tab w:val="left" w:pos="2383"/>
        </w:tabs>
        <w:spacing w:before="43" w:line="204" w:lineRule="auto"/>
        <w:ind w:left="285" w:right="71"/>
        <w:jc w:val="both"/>
        <w:rPr>
          <w:rFonts w:ascii="Times New Roman" w:hAnsi="Times New Roman" w:cs="Times New Roman"/>
          <w:i/>
          <w:sz w:val="20"/>
          <w:szCs w:val="20"/>
          <w:lang w:val="id-ID"/>
        </w:rPr>
      </w:pPr>
      <w:r w:rsidRPr="00E26C4E">
        <w:rPr>
          <w:rFonts w:ascii="Times New Roman" w:hAnsi="Times New Roman" w:cs="Times New Roman"/>
          <w:b/>
          <w:bCs/>
          <w:i/>
          <w:sz w:val="20"/>
          <w:szCs w:val="20"/>
        </w:rPr>
        <w:t>Keywords:</w:t>
      </w:r>
      <w:r w:rsidRPr="00E26C4E">
        <w:rPr>
          <w:rFonts w:ascii="Times New Roman" w:hAnsi="Times New Roman" w:cs="Times New Roman"/>
          <w:bCs/>
          <w:i/>
          <w:sz w:val="20"/>
          <w:szCs w:val="20"/>
        </w:rPr>
        <w:t xml:space="preserve"> Android, allah’s Books, Islamic Religion, Learning Media.</w:t>
      </w:r>
    </w:p>
    <w:p w14:paraId="2990C922" w14:textId="77777777" w:rsidR="00E26C4E" w:rsidRPr="00E26C4E" w:rsidRDefault="00E26C4E">
      <w:pPr>
        <w:spacing w:line="244" w:lineRule="auto"/>
        <w:jc w:val="both"/>
        <w:rPr>
          <w:rFonts w:ascii="Times New Roman" w:hAnsi="Times New Roman" w:cs="Times New Roman"/>
          <w:sz w:val="20"/>
          <w:szCs w:val="20"/>
        </w:rPr>
      </w:pPr>
    </w:p>
    <w:p w14:paraId="2B96880A" w14:textId="1EA03D4D" w:rsidR="00E26C4E" w:rsidRPr="00E26C4E" w:rsidRDefault="00E26C4E" w:rsidP="00E26C4E">
      <w:pPr>
        <w:rPr>
          <w:rFonts w:ascii="Times New Roman" w:hAnsi="Times New Roman" w:cs="Times New Roman"/>
          <w:sz w:val="20"/>
          <w:szCs w:val="20"/>
        </w:rPr>
        <w:sectPr w:rsidR="00E26C4E" w:rsidRPr="00E26C4E" w:rsidSect="00273C49">
          <w:headerReference w:type="default" r:id="rId9"/>
          <w:footerReference w:type="default" r:id="rId10"/>
          <w:type w:val="continuous"/>
          <w:pgSz w:w="11910" w:h="16840"/>
          <w:pgMar w:top="1134" w:right="1701" w:bottom="1134" w:left="1701" w:header="720" w:footer="0" w:gutter="0"/>
          <w:pgNumType w:start="63"/>
          <w:cols w:space="720"/>
        </w:sectPr>
      </w:pPr>
    </w:p>
    <w:p w14:paraId="328C9660" w14:textId="702C766F" w:rsidR="00E242DA" w:rsidRPr="00641BED" w:rsidRDefault="004E1452">
      <w:pPr>
        <w:pStyle w:val="Heading1"/>
        <w:spacing w:before="97"/>
        <w:rPr>
          <w:rFonts w:asciiTheme="majorHAnsi" w:hAnsiTheme="majorHAnsi"/>
        </w:rPr>
      </w:pPr>
      <w:r w:rsidRPr="00641BED">
        <w:rPr>
          <w:rFonts w:asciiTheme="majorHAnsi" w:hAnsiTheme="majorHAnsi"/>
        </w:rPr>
        <w:lastRenderedPageBreak/>
        <w:t>INTRODUCTION</w:t>
      </w:r>
    </w:p>
    <w:p w14:paraId="6858C007" w14:textId="77777777" w:rsidR="00B27C30" w:rsidRPr="00641BED" w:rsidRDefault="00B27C30">
      <w:pPr>
        <w:pStyle w:val="Heading1"/>
        <w:spacing w:before="97"/>
        <w:rPr>
          <w:rFonts w:asciiTheme="majorHAnsi" w:hAnsiTheme="majorHAnsi"/>
        </w:rPr>
      </w:pPr>
    </w:p>
    <w:p w14:paraId="5D869BAA" w14:textId="6D425E40" w:rsidR="0018212D" w:rsidRPr="00641BED" w:rsidRDefault="0018212D" w:rsidP="0018212D">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Technological advances influence the learning process in the form of media, in schools or other learning institutions</w:t>
      </w:r>
      <w:r w:rsidR="00307164">
        <w:rPr>
          <w:rFonts w:asciiTheme="majorHAnsi" w:hAnsiTheme="majorHAnsi" w:cs="Times New Roman"/>
          <w:lang w:val="en"/>
        </w:rPr>
        <w:fldChar w:fldCharType="begin" w:fldLock="1"/>
      </w:r>
      <w:r w:rsidR="00307164">
        <w:rPr>
          <w:rFonts w:asciiTheme="majorHAnsi" w:hAnsiTheme="majorHAnsi" w:cs="Times New Roman"/>
          <w:lang w:val="en"/>
        </w:rPr>
        <w:instrText>ADDIN CSL_CITATION {"citationItems":[{"id":"ITEM-1","itemData":{"DOI":"https://doi.org/10.15294/lik.v52i1.43822","author":[{"dropping-particle":"","family":"Isroani","given":"Muhammad Hizbul Muflihin Farida","non-dropping-particle":"","parse-names":false,"suffix":""},{"dropping-particle":"","family":"Nguyen","given":"Van Chien","non-dropping-particle":"","parse-names":false,"suffix":""}],"container-title":"Lembaran Ilmu Kependidikan","id":"ITEM-1","issue":"1","issued":{"date-parts":[["2023"]]},"page":"1-8","title":"Lembaran Ilmu Kependidikan Development of Prophetic Education Curriculum Management in Student Boarding Schools","type":"article-journal","volume":"52"},"uris":["http://www.mendeley.com/documents/?uuid=5894fd58-978c-4130-8fbb-5745cf9e9eab"]},{"id":"ITEM-2","itemData":{"DOI":"10.36079/lamintang.ijai-0602.42","ISSN":"2407-7275","abstract":"PSAP: Improving Accuracy of Students' Final Grade Prediction using ID3 and C4.5\r This study was aimed to increase the performance of the Predicting Student Academic Performance (PSAP) system, and the outcome is to develop a web application that can be used to analyze student performance during present semester. Development of the web-based application was based on the evolutionary prototyping model. The study also analyses the accuracy of the classifier that is constructed for the prediction features in the web application. Qualitative approaches by user evaluation questionnaire were used for this study. A number of few personnel expert users which are lecturers from Universiti Pendidikan Sultan Idris were chosen as respondents. Each respondent is instructed to answer a total of 27 questions regarding respondent’s background and web application design. The accuracy of the classifier for the prediction features is tested by using the confusion matrix by using the test set of 24 rows. The findings showed the views of respondents on the aspects of interface design, functionality, navigation, and reliability of the web-based application that is developed. The result also showed that accuracy for the classifier constructed by using ID3 classification model (C4.5) is 79.18% and the highest compared to Naïve Bayes and Generalized Linear classification model.","author":[{"dropping-particle":"","family":"Ismail Yusuf Panessai","given":"","non-dropping-particle":"","parse-names":false,"suffix":""},{"dropping-particle":"","family":"Lakulu","given":"Muhammad Modi","non-dropping-particle":"","parse-names":false,"suffix":""},{"dropping-particle":"","family":"Abdul Rahman","given":"Mohd Hishamuddin","non-dropping-particle":"","parse-names":false,"suffix":""},{"dropping-particle":"","family":"Mohd Noor","given":"Noor Anida Zaria","non-dropping-particle":"","parse-names":false,"suffix":""},{"dropping-particle":"","family":"Mat Salleh","given":"Nor Syazwani","non-dropping-particle":"","parse-names":false,"suffix":""},{"dropping-particle":"","family":"Aldrin Aran Bilong","given":"","non-dropping-particle":"","parse-names":false,"suffix":""}],"container-title":"International Journal of Artificial Intelligence","id":"ITEM-2","issue":"2","issued":{"date-parts":[["2019"]]},"page":"125-133","title":"PSAP: Improving Accuracy of Students' Final Grade Prediction using ID3 and C4.5","type":"article-journal","volume":"6"},"uris":["http://www.mendeley.com/documents/?uuid=0f547f9d-da15-4138-ba78-e3ddee79ff63"]}],"mendeley":{"formattedCitation":"(Ismail Yusuf Panessai et al., 2019; Isroani &amp; Nguyen, 2023)","plainTextFormattedCitation":"(Ismail Yusuf Panessai et al., 2019; Isroani &amp; Nguyen, 2023)","previouslyFormattedCitation":"(Ismail Yusuf Panessai et al., 2019; Isroani &amp; Nguyen, 2023)"},"properties":{"noteIndex":0},"schema":"https://github.com/citation-style-language/schema/raw/master/csl-citation.json"}</w:instrText>
      </w:r>
      <w:r w:rsidR="00307164">
        <w:rPr>
          <w:rFonts w:asciiTheme="majorHAnsi" w:hAnsiTheme="majorHAnsi" w:cs="Times New Roman"/>
          <w:lang w:val="en"/>
        </w:rPr>
        <w:fldChar w:fldCharType="separate"/>
      </w:r>
      <w:r w:rsidR="00307164" w:rsidRPr="00307164">
        <w:rPr>
          <w:rFonts w:asciiTheme="majorHAnsi" w:hAnsiTheme="majorHAnsi" w:cs="Times New Roman"/>
          <w:noProof/>
          <w:lang w:val="en"/>
        </w:rPr>
        <w:t>(Ismail Yusuf Panessai et al., 2019; Isroani &amp; Nguyen, 2023)</w:t>
      </w:r>
      <w:r w:rsidR="00307164">
        <w:rPr>
          <w:rFonts w:asciiTheme="majorHAnsi" w:hAnsiTheme="majorHAnsi" w:cs="Times New Roman"/>
          <w:lang w:val="en"/>
        </w:rPr>
        <w:fldChar w:fldCharType="end"/>
      </w:r>
      <w:r w:rsidRPr="00641BED">
        <w:rPr>
          <w:rFonts w:asciiTheme="majorHAnsi" w:hAnsiTheme="majorHAnsi" w:cs="Times New Roman"/>
          <w:lang w:val="en"/>
        </w:rPr>
        <w:t>. The use of media in the educational process can increase attention and raise student motivation. This can have psychological impacts on students. The growth of science and technology makes the educational process more applicable and interesting as an effort to improve the quality of learning</w:t>
      </w:r>
      <w:r w:rsidR="00307164">
        <w:rPr>
          <w:rFonts w:asciiTheme="majorHAnsi" w:hAnsiTheme="majorHAnsi" w:cs="Times New Roman"/>
          <w:lang w:val="en"/>
        </w:rPr>
        <w:fldChar w:fldCharType="begin" w:fldLock="1"/>
      </w:r>
      <w:r w:rsidR="00307164">
        <w:rPr>
          <w:rFonts w:asciiTheme="majorHAnsi" w:hAnsiTheme="majorHAnsi" w:cs="Times New Roman"/>
          <w:lang w:val="en"/>
        </w:rPr>
        <w:instrText>ADDIN CSL_CITATION {"citationItems":[{"id":"ITEM-1","itemData":{"DOI":"https://doi.org/10.15294/lik.v52i1.41459","abstract":"Technological advances in the world of ICT implementation from the policies of the organizers, the impact of ICT is sometimes influenced and technological advances. The purpose of the study was to determine the influence of social factors, determine the influence of task suitability factors, determine the influence of long-term consequences, determine the influence of influence factors, to determine the influence of complexity factors in the use of ICT on educator performance, to determine the influence of educator performance on the quality of learning. This study uses a quantitative descriptive approach by knowing how much influence each variable has on social factor dimensions, task suitability factor dimensions, long-term consequence factor dimensions, influence factor dimensions, and complexity factor dimensions. The tests are carried out Multicollinearity Test, Autocorrelation Test, Heteroscedasticity Test, Normality Test. The results of research data that have been analyzed with PLS, show that: (1) The percentage of ICT ability factors for communication is 0.042 or 4.2%, this shows that the greater the ICT ability of educators will be able to improve communication by 4.2%. (2) The amount of ICT ability factor on educator performance is 0.031 or 3.1%. This shows that the greater the ability of ICT capabilities will be able to increase the performance of educators by 3.1%. (3) The magnitude of the influence of communication and ICT on educator performance is 0.042 × 0.031 = 0.001302 = 0.1302% This shows that it has a fairly small communication variable influence of 0.1302% on performance The Regression equation is:,Y.= 0.042 X1 + 0.001 X2 + Error. (4) The Regression Equation is, Y. = 0.042 X1 + 0.001 X2 + ErrorResearch findings show that communication skills and ICT simultaneously affect educator performance, so the quality of learning is increasing.","author":[{"dropping-particle":"","family":"Malik","given":"Abdul","non-dropping-particle":"","parse-names":false,"suffix":""},{"dropping-particle":"","family":"Gupta","given":"Sachin","non-dropping-particle":"","parse-names":false,"suffix":""}],"container-title":"Lembaran Ilmu Kependidikan","id":"ITEM-1","issue":"1","issued":{"date-parts":[["2023"]]},"page":"9-15","title":"Information Technology Ability Factors on Educator Performance that Have an Impact on the Quality of Learning in Equality Education","type":"article-journal","volume":"52"},"uris":["http://www.mendeley.com/documents/?uuid=06f8775a-d1b4-446f-8c73-6de718fc1685"]}],"mendeley":{"formattedCitation":"(Malik &amp; Gupta, 2023)","plainTextFormattedCitation":"(Malik &amp; Gupta, 2023)","previouslyFormattedCitation":"(Malik &amp; Gupta, 2023)"},"properties":{"noteIndex":0},"schema":"https://github.com/citation-style-language/schema/raw/master/csl-citation.json"}</w:instrText>
      </w:r>
      <w:r w:rsidR="00307164">
        <w:rPr>
          <w:rFonts w:asciiTheme="majorHAnsi" w:hAnsiTheme="majorHAnsi" w:cs="Times New Roman"/>
          <w:lang w:val="en"/>
        </w:rPr>
        <w:fldChar w:fldCharType="separate"/>
      </w:r>
      <w:r w:rsidR="00307164" w:rsidRPr="00307164">
        <w:rPr>
          <w:rFonts w:asciiTheme="majorHAnsi" w:hAnsiTheme="majorHAnsi" w:cs="Times New Roman"/>
          <w:noProof/>
          <w:lang w:val="en"/>
        </w:rPr>
        <w:t>(Malik &amp; Gupta, 2023)</w:t>
      </w:r>
      <w:r w:rsidR="00307164">
        <w:rPr>
          <w:rFonts w:asciiTheme="majorHAnsi" w:hAnsiTheme="majorHAnsi" w:cs="Times New Roman"/>
          <w:lang w:val="en"/>
        </w:rPr>
        <w:fldChar w:fldCharType="end"/>
      </w:r>
      <w:r w:rsidRPr="00641BED">
        <w:rPr>
          <w:rFonts w:asciiTheme="majorHAnsi" w:hAnsiTheme="majorHAnsi" w:cs="Times New Roman"/>
          <w:lang w:val="en"/>
        </w:rPr>
        <w:t>.</w:t>
      </w:r>
    </w:p>
    <w:p w14:paraId="100EB721" w14:textId="706AD39B" w:rsidR="0018212D" w:rsidRPr="00641BED" w:rsidRDefault="00307164" w:rsidP="0018212D">
      <w:pPr>
        <w:pStyle w:val="BodyText"/>
        <w:ind w:left="142" w:right="227" w:firstLine="425"/>
        <w:rPr>
          <w:rFonts w:asciiTheme="majorHAnsi" w:hAnsiTheme="majorHAnsi" w:cs="Times New Roman"/>
          <w:lang w:val="en"/>
        </w:rPr>
      </w:pPr>
      <w:r>
        <w:rPr>
          <w:rFonts w:asciiTheme="majorHAnsi" w:hAnsiTheme="majorHAnsi" w:cs="Times New Roman"/>
          <w:lang w:val="en"/>
        </w:rPr>
        <w:fldChar w:fldCharType="begin" w:fldLock="1"/>
      </w:r>
      <w:r>
        <w:rPr>
          <w:rFonts w:asciiTheme="majorHAnsi" w:hAnsiTheme="majorHAnsi" w:cs="Times New Roman"/>
          <w:lang w:val="en"/>
        </w:rPr>
        <w:instrText>ADDIN CSL_CITATION {"citationItems":[{"id":"ITEM-1","itemData":{"DOI":"https://doi.org/10.15294/lik.v52i1.40951","author":[{"dropping-particle":"","family":"Lizza","given":"Annizatul","non-dropping-particle":"","parse-names":false,"suffix":""},{"dropping-particle":"","family":"Lutfia","given":"Mei","non-dropping-particle":"","parse-names":false,"suffix":""},{"dropping-particle":"","family":"Fathani","given":"Abdul Halim","non-dropping-particle":"","parse-names":false,"suffix":""},{"dropping-particle":"","family":"Malang","given":"Universitas Islam","non-dropping-particle":"","parse-names":false,"suffix":""}],"id":"ITEM-1","issue":"1","issued":{"date-parts":[["2023"]]},"page":"16-21","title":"Lembaran Ilmu Kependidikan Qur ’ ani Paradigm in Professional Development of Mathematics Teacher","type":"article-journal","volume":"52"},"uris":["http://www.mendeley.com/documents/?uuid=14fd8953-7451-42de-9284-cebce5c358ac"]},{"id":"ITEM-2","itemData":{"DOI":"10.15294/usej.v12i1.67139","ISSN":"2252-6617","abstract":"The aim of the study was to explore pre-service science teachers’ views and experiences on the use of technology in teaching and learning of electric concepts. . The study sample consisted of six pre-service science teachers enrolled in Physical Science level 1 at a university of technology in South Africa, who aspire to be Physical Science teachers, and whose curriculum consist of electricity. The study adopted a case study research design embedded within the qualitative research approach. Data for the study was collected voluntarily from participants in alignment with the convenience sampling technique. The results of the study indicate the need for educators to have technology integration strategies because some schools lack equipment needed to conduct experiments. Moreover, pre-service science teachers recommend the use of technology integration because it is cheaper, safer, and more convenient","author":[{"dropping-particle":"","family":"Nandipha","given":"Nyangiwe","non-dropping-particle":"","parse-names":false,"suffix":""},{"dropping-particle":"","family":"Rankhumise","given":"Mmushetji","non-dropping-particle":"","parse-names":false,"suffix":""},{"dropping-particle":"","family":"Sedumedi","given":"Thomas","non-dropping-particle":"","parse-names":false,"suffix":""}],"container-title":"Unnes Science Education Journal","id":"ITEM-2","issue":"1","issued":{"date-parts":[["2023"]]},"page":"39-48","title":"Views and Experiences of Pre-Service Science Teachers on the Use of Technology in Teaching and Learning of Electric Concepts","type":"article-journal","volume":"12"},"uris":["http://www.mendeley.com/documents/?uuid=055de4dd-a84c-4e5b-8696-f11a695aecff"]}],"mendeley":{"formattedCitation":"(Lizza et al., 2023; Nandipha et al., 2023)","plainTextFormattedCitation":"(Lizza et al., 2023; Nandipha et al., 2023)","previouslyFormattedCitation":"(Lizza et al., 2023; Nandipha et al., 2023)"},"properties":{"noteIndex":0},"schema":"https://github.com/citation-style-language/schema/raw/master/csl-citation.json"}</w:instrText>
      </w:r>
      <w:r>
        <w:rPr>
          <w:rFonts w:asciiTheme="majorHAnsi" w:hAnsiTheme="majorHAnsi" w:cs="Times New Roman"/>
          <w:lang w:val="en"/>
        </w:rPr>
        <w:fldChar w:fldCharType="separate"/>
      </w:r>
      <w:r w:rsidRPr="00307164">
        <w:rPr>
          <w:rFonts w:asciiTheme="majorHAnsi" w:hAnsiTheme="majorHAnsi" w:cs="Times New Roman"/>
          <w:noProof/>
          <w:lang w:val="en"/>
        </w:rPr>
        <w:t>(Lizza et al., 2023; Nandipha et al., 2023)</w:t>
      </w:r>
      <w:r>
        <w:rPr>
          <w:rFonts w:asciiTheme="majorHAnsi" w:hAnsiTheme="majorHAnsi" w:cs="Times New Roman"/>
          <w:lang w:val="en"/>
        </w:rPr>
        <w:fldChar w:fldCharType="end"/>
      </w:r>
      <w:r w:rsidR="0018212D" w:rsidRPr="00641BED">
        <w:rPr>
          <w:rFonts w:asciiTheme="majorHAnsi" w:hAnsiTheme="majorHAnsi" w:cs="Times New Roman"/>
          <w:lang w:val="en"/>
        </w:rPr>
        <w:t>Especially in Islamic Religion and Character lessons with the material of Believing in Allah's Books, one of the learning materials in this lesson is through an inductive-deductive process. This form of effort has been carried out in school learning which has given birth to learning strategies which will become the core of learning in the implementation of the 2013 Curriculum, namely the teaching and learning process and contextual learning (Contextual Teaching and Learning) or CTL.</w:t>
      </w:r>
    </w:p>
    <w:p w14:paraId="1F9435D2" w14:textId="069B7015" w:rsidR="0018212D" w:rsidRPr="00641BED" w:rsidRDefault="0018212D" w:rsidP="0018212D">
      <w:pPr>
        <w:pStyle w:val="BodyText"/>
        <w:ind w:left="142" w:right="227" w:firstLine="425"/>
        <w:rPr>
          <w:rFonts w:asciiTheme="majorHAnsi" w:hAnsiTheme="majorHAnsi" w:cs="Times New Roman"/>
          <w:lang w:val="en"/>
        </w:rPr>
      </w:pPr>
      <w:r w:rsidRPr="00641BED">
        <w:rPr>
          <w:rFonts w:asciiTheme="majorHAnsi" w:hAnsiTheme="majorHAnsi" w:cs="Times New Roman"/>
          <w:lang w:val="en"/>
        </w:rPr>
        <w:lastRenderedPageBreak/>
        <w:t xml:space="preserve">So by using this approach it is hoped that students can understand more optimally and have beneficial value if the teaching and learning process is connected to daily lessons through Contextual Teaching and Learning </w:t>
      </w:r>
      <w:r w:rsidR="00307164">
        <w:rPr>
          <w:rFonts w:asciiTheme="majorHAnsi" w:hAnsiTheme="majorHAnsi" w:cs="Times New Roman"/>
          <w:lang w:val="en"/>
        </w:rPr>
        <w:fldChar w:fldCharType="begin" w:fldLock="1"/>
      </w:r>
      <w:r w:rsidR="005E3AF2">
        <w:rPr>
          <w:rFonts w:asciiTheme="majorHAnsi" w:hAnsiTheme="majorHAnsi" w:cs="Times New Roman"/>
          <w:lang w:val="en"/>
        </w:rPr>
        <w:instrText>ADDIN CSL_CITATION {"citationItems":[{"id":"ITEM-1","itemData":{"DOI":"10.15294/usej.v12i1.67139","ISSN":"2252-6617","abstract":"The aim of the study was to explore pre-service science teachers’ views and experiences on the use of technology in teaching and learning of electric concepts. . The study sample consisted of six pre-service science teachers enrolled in Physical Science level 1 at a university of technology in South Africa, who aspire to be Physical Science teachers, and whose curriculum consist of electricity. The study adopted a case study research design embedded within the qualitative research approach. Data for the study was collected voluntarily from participants in alignment with the convenience sampling technique. The results of the study indicate the need for educators to have technology integration strategies because some schools lack equipment needed to conduct experiments. Moreover, pre-service science teachers recommend the use of technology integration because it is cheaper, safer, and more convenient","author":[{"dropping-particle":"","family":"Nandipha","given":"Nyangiwe","non-dropping-particle":"","parse-names":false,"suffix":""},{"dropping-particle":"","family":"Rankhumise","given":"Mmushetji","non-dropping-particle":"","parse-names":false,"suffix":""},{"dropping-particle":"","family":"Sedumedi","given":"Thomas","non-dropping-particle":"","parse-names":false,"suffix":""}],"container-title":"Unnes Science Education Journal","id":"ITEM-1","issue":"1","issued":{"date-parts":[["2023"]]},"page":"39-48","title":"Views and Experiences of Pre-Service Science Teachers on the Use of Technology in Teaching and Learning of Electric Concepts","type":"article-journal","volume":"12"},"uris":["http://www.mendeley.com/documents/?uuid=055de4dd-a84c-4e5b-8696-f11a695aecff"]},{"id":"ITEM-2","itemData":{"abstract":"This study focused on how students perceive the use of mobile devices to create a personalized learning experience outside the classroom. Fifty-three students in three graduate TESOL classes participated in this study. All participants completed five class projects designed to help them explore mobile learning experiences with their own mobile devices, incorporating technologies such as YouTube and VoiceThread. We identified characteristics of these mobile users in Mobile Language Learning (MLL), and the results illuminate how MLL opens up new pedagogical scaffoldings. Keywords:","author":[{"dropping-particle":"","family":"Kim","given":"","non-dropping-particle":"","parse-names":false,"suffix":""},{"dropping-particle":"","family":"Rueckert","given":"Daniel","non-dropping-particle":"","parse-names":false,"suffix":""},{"dropping-particle":"","family":"Kim","given":"Dong-joong","non-dropping-particle":"","parse-names":false,"suffix":""},{"dropping-particle":"","family":"Seo","given":"Daeryong","non-dropping-particle":"","parse-names":false,"suffix":""}],"container-title":"Language Learning&amp;Technology","id":"ITEM-2","issue":"3","issued":{"date-parts":[["2013"]]},"page":"52-73","title":"Students ’ Perceptions Erceptions Rception of","type":"article-journal","volume":"17"},"uris":["http://www.mendeley.com/documents/?uuid=75fcbe61-7f9c-4624-9535-0cb69d446ef1"]},{"id":"ITEM-3","itemData":{"DOI":"10.31932/ve.v12i1.1074","ISSN":"2086-4450","abstract":"ABSTRAKPandemi covid-19 membuat sistem pembelajaran di Indonesia yang berlangsung secara klasikal berubah menjadi pembelajaran dalam jaringan (daring). Tujuan penelitian ini yakni mengevaluasi pelaksanaan pembelajaran daring di Indonesia pada masa pandemi covid-19. Metode penelitian menggunakan studi kepustakaan dengan sumber data berupa artikel ilmiah yang membahas tentang pelaksanaan pembelajaran daring selama masa pandemi covid-19. Teknik analisis data menggunakan analisa kualitatif yakni reduksi data, penyajian data dan verifikasi/ penarikan kesimpulan. Temuan dalam penelitian ini bahwa mekanisme pembelajaran daring memiliki dampak positif berupa kemandirian siswa dalam belajar, peningkatan aktivitas mencari sumber belajar dan inovasi gaya belajar. Dampak negatif pembelajaran daring berupa rasa jenuh dan penurunan minat belajar akibat kegagalan siswa dan guru dalam mengatasi kendala seperti sarana penunjang yang tidak memadai, ketiadaan kuota internet dan sinyal internet yang buruk. Tantangan yang dihadapi oleh siswa dan guru selama pembelajaran daring yakni ketersediaan sarana penunjang, strategi pembelajaran yang inovatif dan sinergi ntara komponen pendidikan. Pembelajaran daring berpeluang untuk terus dilaksanakan dengan system blended learning guna menciptakan ekosistem pembelajaran digital yang efektif dan efisien.Kata Kunci: Evaluasi, pembelajaran, dalam jaringan, pandemi covid-19 ABSTRACTPandemic covid-19 makes the learning system in Indonesia that takes place classically turned into online learning. The purpose of this study is to evaluate the implementation of online learning in Indonesia during the Covid-19 pandemic. The research method uses library research with data sources in the form of scientific articles that discuss the implementation of online learning during the Covid-19 pandemic. The data analysis technique uses qualitative analysis, namely data reduction, data presentation and verification / conclusion. The findings in this study are that online learning mechanisms have a positive impact in the form of student’s independence in learning, increased activity to find learning resources and innovation in learning styles. The negative impact of online learning is in the form of boredom and decreased interest in learning due to the failure of students and teachers to overcome obstacles such as inadequate supporting facilities, absence of internet quota and poor internet signal. The challenges faced by students and teachers during onli…","author":[{"dropping-particle":"","family":"Budiman","given":"Jumardi","non-dropping-particle":"","parse-names":false,"suffix":""}],"container-title":"VOX EDUKASI: Jurnal Ilmiah Ilmu Pendidikan","id":"ITEM-3","issue":"1","issued":{"date-parts":[["2021"]]},"page":"104-113","title":"Evaluasi Pelaksanaan Pembelajaran Daring Di Indonesia Selama Masa Pandemi Covid-19","type":"article-journal","volume":"12"},"uris":["http://www.mendeley.com/documents/?uuid=fc0d7cf2-fe35-4ff1-b23b-68f39f27233e"]}],"mendeley":{"formattedCitation":"(Budiman, 2021; Kim et al., 2013; Nandipha et al., 2023)","plainTextFormattedCitation":"(Budiman, 2021; Kim et al., 2013; Nandipha et al., 2023)","previouslyFormattedCitation":"(Budiman, 2021; Kim et al., 2013; Nandipha et al., 2023)"},"properties":{"noteIndex":0},"schema":"https://github.com/citation-style-language/schema/raw/master/csl-citation.json"}</w:instrText>
      </w:r>
      <w:r w:rsidR="00307164">
        <w:rPr>
          <w:rFonts w:asciiTheme="majorHAnsi" w:hAnsiTheme="majorHAnsi" w:cs="Times New Roman"/>
          <w:lang w:val="en"/>
        </w:rPr>
        <w:fldChar w:fldCharType="separate"/>
      </w:r>
      <w:r w:rsidR="00307164" w:rsidRPr="00307164">
        <w:rPr>
          <w:rFonts w:asciiTheme="majorHAnsi" w:hAnsiTheme="majorHAnsi" w:cs="Times New Roman"/>
          <w:noProof/>
          <w:lang w:val="en"/>
        </w:rPr>
        <w:t>(Budiman, 2021; Kim et al., 2013; Nandipha et al., 2023)</w:t>
      </w:r>
      <w:r w:rsidR="00307164">
        <w:rPr>
          <w:rFonts w:asciiTheme="majorHAnsi" w:hAnsiTheme="majorHAnsi" w:cs="Times New Roman"/>
          <w:lang w:val="en"/>
        </w:rPr>
        <w:fldChar w:fldCharType="end"/>
      </w:r>
      <w:r w:rsidRPr="00641BED">
        <w:rPr>
          <w:rFonts w:asciiTheme="majorHAnsi" w:hAnsiTheme="majorHAnsi" w:cs="Times New Roman"/>
          <w:lang w:val="en"/>
        </w:rPr>
        <w:t>. More specifically, the approach in the form of CTL is a teaching and learning process that links the learning carried out with students' daily. Therefore, the CTL (contextual teaching and learning) approach is a learning approach that aims to improve the quality of both the process and learning outcomes. The process of student involvement is emphasized in CTL. The learning taught must be effective, the learning delivered must be related to existing learning concepts so that it is relevant to the cognitive structure possessed by students.</w:t>
      </w:r>
    </w:p>
    <w:p w14:paraId="3FB30635" w14:textId="33D8A98E" w:rsidR="0018212D" w:rsidRPr="00641BED" w:rsidRDefault="0018212D" w:rsidP="0018212D">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In reality, in Islamic Religion and Character lessons with the material of Believing in Allah's Books, students often experience difficulties in learning this knowledge. Difficulties faced by students in studying Islamic Religion and Character lessons with the material of Believing in Allah's Books. The results of surveys and observations conducted at SMPN 2 Dempet Dema</w:t>
      </w:r>
      <w:bookmarkStart w:id="0" w:name="_GoBack"/>
      <w:bookmarkEnd w:id="0"/>
      <w:r w:rsidRPr="00641BED">
        <w:rPr>
          <w:rFonts w:asciiTheme="majorHAnsi" w:hAnsiTheme="majorHAnsi" w:cs="Times New Roman"/>
          <w:lang w:val="en"/>
        </w:rPr>
        <w:t xml:space="preserve">k, </w:t>
      </w:r>
      <w:r w:rsidRPr="00641BED">
        <w:rPr>
          <w:rFonts w:asciiTheme="majorHAnsi" w:hAnsiTheme="majorHAnsi" w:cs="Times New Roman"/>
          <w:lang w:val="en"/>
        </w:rPr>
        <w:lastRenderedPageBreak/>
        <w:t>found that students' difficulties in understanding the material on Believing in the Books of Allah at school were caused by several factors, including difficulties in absorbing material sourced from books and existing powerpoint displays</w:t>
      </w:r>
      <w:r w:rsidR="00BF5855">
        <w:rPr>
          <w:rFonts w:asciiTheme="majorHAnsi" w:hAnsiTheme="majorHAnsi" w:cs="Times New Roman"/>
          <w:lang w:val="en"/>
        </w:rPr>
        <w:fldChar w:fldCharType="begin" w:fldLock="1"/>
      </w:r>
      <w:r w:rsidR="00BF5855">
        <w:rPr>
          <w:rFonts w:asciiTheme="majorHAnsi" w:hAnsiTheme="majorHAnsi" w:cs="Times New Roman"/>
          <w:lang w:val="en"/>
        </w:rPr>
        <w:instrText>ADDIN CSL_CITATION {"citationItems":[{"id":"ITEM-1","itemData":{"DOI":"10.1016/j.compedu.2008.12.005","ISSN":"03601315","author":[{"dropping-particle":"","family":"Savoy","given":"April","non-dropping-particle":"","parse-names":false,"suffix":""},{"dropping-particle":"","family":"Proctor","given":"Robert W.","non-dropping-particle":"","parse-names":false,"suffix":""},{"dropping-particle":"","family":"Salvendy","given":"Gavriel","non-dropping-particle":"","parse-names":false,"suffix":""}],"container-title":"Computers &amp; Education","id":"ITEM-1","issue":"4","issued":{"date-parts":[["2009","5"]]},"page":"858-867","title":"Information retention from PowerPoint™ and traditional lectures","type":"article-journal","volume":"52"},"uris":["http://www.mendeley.com/documents/?uuid=fcfa955e-0f26-4fa9-8dc9-f390949543db"]},{"id":"ITEM-2","itemData":{"DOI":"10.1109/IIAI-AAI.2014.27","ISBN":"978-1-4799-4173-5","author":[{"dropping-particle":"","family":"Niwa","given":"Yusuke","non-dropping-particle":"","parse-names":false,"suffix":""},{"dropping-particle":"","family":"Shiramatsu","given":"Shun","non-dropping-particle":"","parse-names":false,"suffix":""},{"dropping-particle":"","family":"Ozono","given":"Tadachika","non-dropping-particle":"","parse-names":false,"suffix":""},{"dropping-particle":"","family":"Shintani","given":"Toramatsu","non-dropping-particle":"","parse-names":false,"suffix":""}],"container-title":"2014 IIAI 3rd International Conference on Advanced Applied Informatics","id":"ITEM-2","issued":{"date-parts":[["2014","8"]]},"page":"80-85","publisher":"IEEE","title":"A Collaborative Web Presentation Support System Using an Existing Presentation Software","type":"paper-conference"},"uris":["http://www.mendeley.com/documents/?uuid=a544882d-33c9-4323-be89-be10939dedf3"]}],"mendeley":{"formattedCitation":"(Niwa et al., 2014; Savoy et al., 2009)","plainTextFormattedCitation":"(Niwa et al., 2014; Savoy et al., 2009)","previouslyFormattedCitation":"(Niwa et al., 2014; Savoy et al., 2009)"},"properties":{"noteIndex":0},"schema":"https://github.com/citation-style-language/schema/raw/master/csl-citation.json"}</w:instrText>
      </w:r>
      <w:r w:rsidR="00BF5855">
        <w:rPr>
          <w:rFonts w:asciiTheme="majorHAnsi" w:hAnsiTheme="majorHAnsi" w:cs="Times New Roman"/>
          <w:lang w:val="en"/>
        </w:rPr>
        <w:fldChar w:fldCharType="separate"/>
      </w:r>
      <w:r w:rsidR="00BF5855" w:rsidRPr="00BF5855">
        <w:rPr>
          <w:rFonts w:asciiTheme="majorHAnsi" w:hAnsiTheme="majorHAnsi" w:cs="Times New Roman"/>
          <w:noProof/>
          <w:lang w:val="en"/>
        </w:rPr>
        <w:t>(Niwa et al., 2014; Savoy et al., 2009)</w:t>
      </w:r>
      <w:r w:rsidR="00BF5855">
        <w:rPr>
          <w:rFonts w:asciiTheme="majorHAnsi" w:hAnsiTheme="majorHAnsi" w:cs="Times New Roman"/>
          <w:lang w:val="en"/>
        </w:rPr>
        <w:fldChar w:fldCharType="end"/>
      </w:r>
      <w:r w:rsidRPr="00641BED">
        <w:rPr>
          <w:rFonts w:asciiTheme="majorHAnsi" w:hAnsiTheme="majorHAnsi" w:cs="Times New Roman"/>
          <w:lang w:val="en"/>
        </w:rPr>
        <w:t>. Teachers still use conventional methods in teaching so that students have a tendency to be lazy and lack motivation in students when carrying out learning activities. Motivation is a determinant of the intensity of students' learning efforts, as a driving force and guarantees the continuity of students' learning so that the desired goals can be achieved. The development of science and technology leads to increasingly significant changes and towards a practical era. In the education sector, developments in information technology have penetrated the management system and also the learning system in the classroom. The increasingly varied use of media is a challenge for teachers in carrying out their duties as teachers in schools in order to achieve learning goals. The use of smartphones which are easy to carry, easy to access and affordable as a medium for learning will have a big impact on students. Apart from facilities that are relatively new, students will be more interested in using facilities that are "current" and familiar to students' situations in everyday life. The objectives to be achieved through this activity are: Helping the teachers of SMPN 2 Dempet Demak in creating learning media for the teaching and learning process, helping to facilitate the learning process.</w:t>
      </w:r>
    </w:p>
    <w:p w14:paraId="61AD5EAC" w14:textId="6344D50C" w:rsidR="004E1452" w:rsidRPr="002E7254" w:rsidRDefault="002E7254" w:rsidP="002E7254">
      <w:pPr>
        <w:pStyle w:val="BodyText"/>
        <w:ind w:right="227"/>
        <w:rPr>
          <w:rFonts w:asciiTheme="majorHAnsi" w:hAnsiTheme="majorHAnsi" w:cs="Times New Roman"/>
          <w:b/>
          <w:lang w:val="en-AU"/>
        </w:rPr>
      </w:pPr>
      <w:r w:rsidRPr="002E7254">
        <w:rPr>
          <w:rFonts w:asciiTheme="majorHAnsi" w:hAnsiTheme="majorHAnsi" w:cs="Times New Roman"/>
          <w:b/>
          <w:lang w:val="en-AU"/>
        </w:rPr>
        <w:t>Digital Learning Media</w:t>
      </w:r>
    </w:p>
    <w:p w14:paraId="62AE0865" w14:textId="36EF78E0" w:rsidR="002E7254" w:rsidRDefault="002E7254" w:rsidP="004E1452">
      <w:pPr>
        <w:pStyle w:val="BodyText"/>
        <w:ind w:left="142" w:right="227" w:firstLine="425"/>
        <w:rPr>
          <w:rFonts w:asciiTheme="majorHAnsi" w:hAnsiTheme="majorHAnsi" w:cs="Times New Roman"/>
          <w:lang w:val="en-AU"/>
        </w:rPr>
      </w:pPr>
      <w:r w:rsidRPr="002E7254">
        <w:rPr>
          <w:rFonts w:asciiTheme="majorHAnsi" w:hAnsiTheme="majorHAnsi" w:cs="Times New Roman"/>
          <w:lang w:val="en-AU"/>
        </w:rPr>
        <w:t>Learning media are all forms of instruments used to support the teaching process in the classroom, which significantly influence the quality of learning by providing information, equipment and materials for planning and evaluating learning implementation. The development of simple and effective digital learning media plays an important role in improving students' ability to understand literature and information</w:t>
      </w:r>
      <w:r w:rsidR="007626CD">
        <w:rPr>
          <w:rFonts w:asciiTheme="majorHAnsi" w:hAnsiTheme="majorHAnsi" w:cs="Times New Roman"/>
          <w:lang w:val="en-AU"/>
        </w:rPr>
        <w:fldChar w:fldCharType="begin" w:fldLock="1"/>
      </w:r>
      <w:r w:rsidR="00F476A8">
        <w:rPr>
          <w:rFonts w:asciiTheme="majorHAnsi" w:hAnsiTheme="majorHAnsi" w:cs="Times New Roman"/>
          <w:lang w:val="en-AU"/>
        </w:rPr>
        <w:instrText>ADDIN CSL_CITATION {"citationItems":[{"id":"ITEM-1","itemData":{"DOI":"10.36499/jinrpl.v1i2.2950","ISSN":"2656-2855","abstract":"Selama ini media perkenalan yang dilakukan untuk menarik minat calon mahasiswa yaitu dengan menyebar selebaran, memasang baliho atau reklame di beberapa tempat dan menyiarkannya di stasiun televisi lokal. Karena belum adanya media promosi yang menggambarkan fasilitas yang ada di kampus Unwahas secara nyata, maka calon mahasiswa yang ingin mengetahui fasilitas kampus harus datang langsung ke kampus Unwahas. Berdasarkan permasalahan tersebut, maka pada penelitian ini dirancang virtual tour berbasis gambar panorama 360 sebagai media promosi ataupun pengenalan suatu lokasi dengan simulasi dari suatu tempat secara nyata  dengan user interface yang menarik interaktif, user friendly dan untuk mendukung serta memudahkan pengenalan beberapa lokasi dan fasilitas kampus Unwahas. Metode pengembangan yang digunakan pada penelitian ini adalah metode Multimedia Development Life Cycle  (MDLC) yang merupakan metode rancang bangun perangkat lunak multimedia yang menekankan pada enam tahap pengembangan multimedia yaitu concept, design, material collection, assembly, testing, dan distribution. Adapun hasil penelitian pembangunan website virtual tour berbasis panorama 360 ini terbukti memudahkan masyarakat umum untuk memperoleh informasi seputar kampus Unwahas yang dibuktikan melalui metode pengujian blackbox dan membagikan kuesioner kepada 10 responden yang menunjukkan persentase keberhasilan sebesar 82.2% yang berarti virtual tour ini berhasil menampilkan semua lokasi dan beberapa fiturnya dengan lancar. Kata kunci: Virtual Tour, Unwahas, MDLC","author":[{"dropping-particle":"","family":"Huda","given":"Miftakhul","non-dropping-particle":"","parse-names":false,"suffix":""},{"dropping-particle":"","family":"Mustagfirin","given":"Mustagfirin","non-dropping-particle":"","parse-names":false,"suffix":""}],"container-title":"Jurnal Informatika dan Rekayasa Perangkat Lunak","id":"ITEM-1","issue":"2","issued":{"date-parts":[["2019"]]},"page":"79-81","title":"Virtual Tour Sebagai Media Informasi Kampus Universitas Wahid Hasyim Semarang","type":"article-journal","volume":"1"},"uris":["http://www.mendeley.com/documents/?uuid=e88d973b-f334-476e-ae9c-985e21d94409"]},{"id":"ITEM-2","itemData":{"DOI":"http://dx.doi.org/10.36499/psnst.v1i1.1886","ISBN":"9786029933475","abstract":"Di Indonesia alat musik tradisional sudah mulai tergerus oleh perkembangan jaman salah satunya yaitu alat musik rebana, masyarakat cenderung lebih memilih alat musik modern dari pada melestarikan alat musik tradisional. Alat musik rebana telah mengalami kekurangan minat, untuk menarik peminat diperlukan metode pengembangan kebudayaan tradisional yang mudah diterima oleh masyarakat, pembuatan aplikasi rebana digital berbasis android merupakan salah satu upaya untuk meningkatkan daya tarik peminat. Aplikasi ini menggunakan metode pengembangan sistem multimedia yang meliputi 6 tahap yaitu concept, design, collecting content material, assembly, testing, dan distribution. Terbukti aplikasi ini menjadi daya tarik masyarakat untuk bermain alat musik rebana","author":[{"dropping-particle":"","family":"Jeni Nadik, Moch. Subchan Mauluddin","given":"Mustagfirin","non-dropping-particle":"","parse-names":false,"suffix":""}],"id":"ITEM-2","issued":{"date-parts":[["2017"]]},"page":"104-109","title":"Aplikasi Rebana Digital Berbasis Android","type":"article-journal"},"uris":["http://www.mendeley.com/documents/?uuid=def77d4c-73da-4e3e-8b49-e8d2e233193e"]},{"id":"ITEM-3","itemData":{"ISBN":"1222008017","author":[{"dropping-particle":"","family":"Suhartono","given":"Dwi","non-dropping-particle":"","parse-names":false,"suffix":""}],"id":"ITEM-3","issued":{"date-parts":[["2015"]]},"page":"1-13","title":"Company Profile Distro Devgru Clothing Berbasis","type":"article-journal"},"uris":["http://www.mendeley.com/documents/?uuid=c88e14f7-0e81-4901-8549-cd739031c13d"]},{"id":"ITEM-4","itemData":{"ISBN":"9786029933475","author":[{"dropping-particle":"","family":"Ikwan","given":"Ali","non-dropping-particle":"","parse-names":false,"suffix":""},{"dropping-particle":"","family":"Mauluddin","given":"Moch. Subchan","non-dropping-particle":"","parse-names":false,"suffix":""},{"dropping-particle":"","family":"Mustagfirin","given":"","non-dropping-particle":"","parse-names":false,"suffix":""}],"container-title":"Snst","id":"ITEM-4","issued":{"date-parts":[["2017"]]},"page":"65-69","title":"Aplikasi Game Edukasi Matematika Fish Math Berbasis Android","type":"article-journal"},"uris":["http://www.mendeley.com/documents/?uuid=747dfb61-1053-4dd0-8336-57f5f5da0b1f"]},{"id":"ITEM-5","itemData":{"DOI":"10.1088/1742-6596/1318/1/012022","ISSN":"17426596","abstract":"Interactive multimedia has different development characteristics with other media. This article aims to form an interactive multimedia development model in elementary schools by integrating the development model of Borg &amp; Gall and Lee &amp; Owen. The formulation of these steps is the integration of the development model of Borg &amp; Gall (1983) and Lee &amp; Owen (2004). Borg &amp; Gall focuses on developing new research-based, ready-to-use research products and Lee &amp; Owen that are more specific in developing interactive multimedia products. Through the analysis of the advantages and limitations of each stage of Borg &amp; Gall and Lee &amp; Owen models can be formulated integration steps become as follows: (1) Research and Information Collecting; (2) Planning; (3) Development of Preliminary Form of Product; (4) Expert Evaluation; (5) Revisions Based on Expert Evaluation Results (Revision 1); (6) Preliminary Field Testing; (7) Main Product Revision (Revision 2); (8) Main Field Testing; (9) Operational Product Revision (Revision 3); (10) Operational Field Testing; (11) Final Product Revision (Revision 4); (12) Dissemination and Implementation. The considerations of the researchers to formulate the 12 stages are: (1) advantages of the comprehensive Borg &amp; gall model, with a research-based product development stage and very rigorous testing phases, (2) the advantages of Lee &amp; Owen's model that focuses on development principles interactive multimedia, (3) the trend of interactive multimedia development research in the scope of elementary schools, and (4) the development of the era that increasingly demands technology-based media for students. The twelve stages formulated by the author above can be adjusted or modified by reducing/adding/changing according to the need to maximize research activities by other.","author":[{"dropping-particle":"","family":"Aka","given":"K. A.","non-dropping-particle":"","parse-names":false,"suffix":""}],"container-title":"Journal of Physics: Conference Series","id":"ITEM-5","issue":"1","issued":{"date-parts":[["2019"]]},"title":"Integration Borg &amp; Gall (1983) and Lee &amp; Owen (2004) models as an alternative model of design-based research of interactive multimedia in elementary school","type":"article-journal","volume":"1318"},"uris":["http://www.mendeley.com/documents/?uuid=a09920fd-4691-41bf-9f7f-9310bed0c880"]}],"mendeley":{"formattedCitation":"(Aka, 2019; Huda &amp; Mustagfirin, 2019; Ikwan et al., 2017; Jeni Nadik, Moch. Subchan Mauluddin, 2017; Suhartono, 2015)","plainTextFormattedCitation":"(Aka, 2019; Huda &amp; Mustagfirin, 2019; Ikwan et al., 2017; Jeni Nadik, Moch. Subchan Mauluddin, 2017; Suhartono, 2015)","previouslyFormattedCitation":"(Aka, 2019; Huda &amp; Mustagfirin, 2019; Ikwan et al., 2017; Jeni Nadik, Moch. Subchan Mauluddin, 2017; Suhartono, 2015)"},"properties":{"noteIndex":0},"schema":"https://github.com/citation-style-language/schema/raw/master/csl-citation.json"}</w:instrText>
      </w:r>
      <w:r w:rsidR="007626CD">
        <w:rPr>
          <w:rFonts w:asciiTheme="majorHAnsi" w:hAnsiTheme="majorHAnsi" w:cs="Times New Roman"/>
          <w:lang w:val="en-AU"/>
        </w:rPr>
        <w:fldChar w:fldCharType="separate"/>
      </w:r>
      <w:r w:rsidR="007626CD" w:rsidRPr="007626CD">
        <w:rPr>
          <w:rFonts w:asciiTheme="majorHAnsi" w:hAnsiTheme="majorHAnsi" w:cs="Times New Roman"/>
          <w:noProof/>
          <w:lang w:val="en-AU"/>
        </w:rPr>
        <w:t>(Aka, 2019; Huda &amp; Mustagfirin, 2019; Ikwan et al., 2017; Jeni Nadik, Moch. Subchan Mauluddin, 2017; Suhartono, 2015)</w:t>
      </w:r>
      <w:r w:rsidR="007626CD">
        <w:rPr>
          <w:rFonts w:asciiTheme="majorHAnsi" w:hAnsiTheme="majorHAnsi" w:cs="Times New Roman"/>
          <w:lang w:val="en-AU"/>
        </w:rPr>
        <w:fldChar w:fldCharType="end"/>
      </w:r>
      <w:r>
        <w:rPr>
          <w:rFonts w:asciiTheme="majorHAnsi" w:hAnsiTheme="majorHAnsi" w:cs="Times New Roman"/>
          <w:lang w:val="en-AU"/>
        </w:rPr>
        <w:t>.</w:t>
      </w:r>
    </w:p>
    <w:p w14:paraId="4984FF21" w14:textId="77777777" w:rsidR="002E7254" w:rsidRPr="00641BED" w:rsidRDefault="002E7254" w:rsidP="004E1452">
      <w:pPr>
        <w:pStyle w:val="BodyText"/>
        <w:ind w:left="142" w:right="227" w:firstLine="425"/>
        <w:rPr>
          <w:rFonts w:asciiTheme="majorHAnsi" w:hAnsiTheme="majorHAnsi" w:cs="Times New Roman"/>
          <w:lang w:val="en-AU"/>
        </w:rPr>
      </w:pPr>
    </w:p>
    <w:p w14:paraId="5315CD84" w14:textId="77777777" w:rsidR="004E1452" w:rsidRPr="00641BED" w:rsidRDefault="004E1452" w:rsidP="004E1452">
      <w:pPr>
        <w:pStyle w:val="BodyText"/>
        <w:ind w:left="142" w:right="227" w:firstLine="425"/>
        <w:rPr>
          <w:rFonts w:asciiTheme="majorHAnsi" w:hAnsiTheme="majorHAnsi" w:cs="Times New Roman"/>
          <w:lang w:val="en-AU"/>
        </w:rPr>
      </w:pPr>
    </w:p>
    <w:p w14:paraId="067A236A" w14:textId="3EED18B1" w:rsidR="004E1452" w:rsidRPr="00641BED" w:rsidRDefault="004E1452" w:rsidP="004E1452">
      <w:pPr>
        <w:pStyle w:val="BodyText"/>
        <w:ind w:left="142" w:right="227"/>
        <w:rPr>
          <w:rFonts w:asciiTheme="majorHAnsi" w:hAnsiTheme="majorHAnsi" w:cs="Times New Roman"/>
          <w:lang w:val="en"/>
        </w:rPr>
      </w:pPr>
      <w:r w:rsidRPr="00641BED">
        <w:rPr>
          <w:rFonts w:asciiTheme="majorHAnsi" w:hAnsiTheme="majorHAnsi" w:cs="Times New Roman"/>
          <w:lang w:val="en"/>
        </w:rPr>
        <w:t> </w:t>
      </w:r>
      <w:r w:rsidRPr="00641BED">
        <w:rPr>
          <w:rFonts w:asciiTheme="majorHAnsi" w:hAnsiTheme="majorHAnsi" w:cs="Times New Roman"/>
          <w:b/>
          <w:lang w:val="en"/>
        </w:rPr>
        <w:t>METHODS</w:t>
      </w:r>
    </w:p>
    <w:p w14:paraId="4CFFE38D" w14:textId="77777777" w:rsidR="004E1452" w:rsidRPr="00641BED" w:rsidRDefault="004E1452" w:rsidP="004E1452">
      <w:pPr>
        <w:pStyle w:val="BodyText"/>
        <w:ind w:left="142" w:right="227" w:firstLine="425"/>
        <w:rPr>
          <w:rFonts w:asciiTheme="majorHAnsi" w:hAnsiTheme="majorHAnsi" w:cs="Times New Roman"/>
          <w:lang w:val="en-AU"/>
        </w:rPr>
      </w:pPr>
    </w:p>
    <w:p w14:paraId="5D25C32D" w14:textId="06177147" w:rsidR="0018212D" w:rsidRPr="00641BED" w:rsidRDefault="0018212D" w:rsidP="0018212D">
      <w:pPr>
        <w:pStyle w:val="BodyText"/>
        <w:ind w:left="142" w:right="227" w:firstLine="425"/>
        <w:rPr>
          <w:rFonts w:asciiTheme="majorHAnsi" w:hAnsiTheme="majorHAnsi" w:cs="Times New Roman"/>
          <w:lang w:val="en-AU"/>
        </w:rPr>
      </w:pPr>
      <w:r w:rsidRPr="00641BED">
        <w:rPr>
          <w:rFonts w:asciiTheme="majorHAnsi" w:hAnsiTheme="majorHAnsi" w:cs="Times New Roman"/>
          <w:lang w:val="en-AU"/>
        </w:rPr>
        <w:t xml:space="preserve">This research was conducted at SMPN 2 Dempet Demak Krasak, Sidomulyo, Kec. Dempet, Demak Regency, Central Java 59573. The independent variables in this study were pretest and posttest data from the experimental class and control class and then tested for normality and homogeneity to determine whether the data </w:t>
      </w:r>
      <w:r w:rsidRPr="00641BED">
        <w:rPr>
          <w:rFonts w:asciiTheme="majorHAnsi" w:hAnsiTheme="majorHAnsi" w:cs="Times New Roman"/>
          <w:lang w:val="en-AU"/>
        </w:rPr>
        <w:lastRenderedPageBreak/>
        <w:t xml:space="preserve">values obtained were normally and homogeneously distributed. </w:t>
      </w:r>
      <w:r w:rsidR="0047059F">
        <w:rPr>
          <w:rFonts w:asciiTheme="majorHAnsi" w:hAnsiTheme="majorHAnsi" w:cs="Times New Roman"/>
          <w:lang w:val="en-AU"/>
        </w:rPr>
        <w:fldChar w:fldCharType="begin" w:fldLock="1"/>
      </w:r>
      <w:r w:rsidR="0047059F">
        <w:rPr>
          <w:rFonts w:asciiTheme="majorHAnsi" w:hAnsiTheme="majorHAnsi" w:cs="Times New Roman"/>
          <w:lang w:val="en-AU"/>
        </w:rPr>
        <w:instrText>ADDIN CSL_CITATION {"citationItems":[{"id":"ITEM-1","itemData":{"DOI":"http://dx.doi.org/10.36499/psnst.v1i1.1886","ISBN":"9786029933475","abstract":"Di Indonesia alat musik tradisional sudah mulai tergerus oleh perkembangan jaman salah satunya yaitu alat musik rebana, masyarakat cenderung lebih memilih alat musik modern dari pada melestarikan alat musik tradisional. Alat musik rebana telah mengalami kekurangan minat, untuk menarik peminat diperlukan metode pengembangan kebudayaan tradisional yang mudah diterima oleh masyarakat, pembuatan aplikasi rebana digital berbasis android merupakan salah satu upaya untuk meningkatkan daya tarik peminat. Aplikasi ini menggunakan metode pengembangan sistem multimedia yang meliputi 6 tahap yaitu concept, design, collecting content material, assembly, testing, dan distribution. Terbukti aplikasi ini menjadi daya tarik masyarakat untuk bermain alat musik rebana","author":[{"dropping-particle":"","family":"Jeni Nadik, Moch. Subchan Mauluddin","given":"Mustagfirin","non-dropping-particle":"","parse-names":false,"suffix":""}],"id":"ITEM-1","issued":{"date-parts":[["2017"]]},"page":"104-109","title":"Aplikasi Rebana Digital Berbasis Android","type":"article-journal"},"uris":["http://www.mendeley.com/documents/?uuid=def77d4c-73da-4e3e-8b49-e8d2e233193e"]}],"mendeley":{"formattedCitation":"(Jeni Nadik, Moch. Subchan Mauluddin, 2017)","plainTextFormattedCitation":"(Jeni Nadik, Moch. Subchan Mauluddin, 2017)","previouslyFormattedCitation":"(Jeni Nadik, Moch. Subchan Mauluddin, 2017)"},"properties":{"noteIndex":0},"schema":"https://github.com/citation-style-language/schema/raw/master/csl-citation.json"}</w:instrText>
      </w:r>
      <w:r w:rsidR="0047059F">
        <w:rPr>
          <w:rFonts w:asciiTheme="majorHAnsi" w:hAnsiTheme="majorHAnsi" w:cs="Times New Roman"/>
          <w:lang w:val="en-AU"/>
        </w:rPr>
        <w:fldChar w:fldCharType="separate"/>
      </w:r>
      <w:r w:rsidR="0047059F" w:rsidRPr="0047059F">
        <w:rPr>
          <w:rFonts w:asciiTheme="majorHAnsi" w:hAnsiTheme="majorHAnsi" w:cs="Times New Roman"/>
          <w:noProof/>
          <w:lang w:val="en-AU"/>
        </w:rPr>
        <w:t>(Jeni Nadik, Moch. Subchan Mauluddin, 2017)</w:t>
      </w:r>
      <w:r w:rsidR="0047059F">
        <w:rPr>
          <w:rFonts w:asciiTheme="majorHAnsi" w:hAnsiTheme="majorHAnsi" w:cs="Times New Roman"/>
          <w:lang w:val="en-AU"/>
        </w:rPr>
        <w:fldChar w:fldCharType="end"/>
      </w:r>
      <w:r w:rsidRPr="00641BED">
        <w:rPr>
          <w:rFonts w:asciiTheme="majorHAnsi" w:hAnsiTheme="majorHAnsi" w:cs="Times New Roman"/>
          <w:lang w:val="en-AU"/>
        </w:rPr>
        <w:t>The sample chosen was class VIII 1 as an experimental class with learning treatment using Android application-based learning media and class VIII 2 as a control class without treatment. Data collection methods were carried out using test and non-test methods</w:t>
      </w:r>
      <w:r w:rsidR="00BF5855">
        <w:rPr>
          <w:rFonts w:asciiTheme="majorHAnsi" w:hAnsiTheme="majorHAnsi" w:cs="Times New Roman"/>
          <w:lang w:val="en-AU"/>
        </w:rPr>
        <w:fldChar w:fldCharType="begin" w:fldLock="1"/>
      </w:r>
      <w:r w:rsidR="007626CD">
        <w:rPr>
          <w:rFonts w:asciiTheme="majorHAnsi" w:hAnsiTheme="majorHAnsi" w:cs="Times New Roman"/>
          <w:lang w:val="en-AU"/>
        </w:rPr>
        <w:instrText>ADDIN CSL_CITATION {"citationItems":[{"id":"ITEM-1","itemData":{"DOI":"10.1007/s00477-014-0937-9","ISBN":"9789401058452","ISSN":"14363259","abstract":"Mixed extreme value models (Mínguez et al., Stoch Environ Res Risk Assess 27:757–768, 2013b) have proved to be an appropriate tool for dealing with wave maxima because they take full advantage of upper tail information from both (1) hindcast or wave reanalysis and (2) instrumental records, which reduces the uncertainty on return level estimates. However, in order to characterize stochastically the differences between instrumental and reanalysis maxima, the method developed in Mínguez et al. (Stoch Environ Res Risk Assess 27:757–768, 2013b) only uses information about annual maxima. This technical note revisits the MEV method so that those differences between instrumental and reanalysis maxima could be characterized using information on independent storm peaks, instead of annual extremes. This strategy increases the size of data sets during the estimation process, reducing uncertainty. The revisited mixed extreme value model is illustrated using data from the same location studied in Mínguez et al. (Stoch Environ Res Risk Assess 27:757–768, 2013b), and results are compared.","author":[{"dropping-particle":"","family":"Mínguez","given":"R.","non-dropping-particle":"","parse-names":false,"suffix":""},{"dropping-particle":"Del","family":"Jesus","given":"F.","non-dropping-particle":"","parse-names":false,"suffix":""}],"container-title":"Stochastic Environmental Research and Risk Assessment","id":"ITEM-1","issue":"7","issued":{"date-parts":[["2015"]]},"number-of-pages":"1851-1856","title":"Revisited mixed extreme wave climate model for reanalysis data bases","type":"book","volume":"29"},"uris":["http://www.mendeley.com/documents/?uuid=380ef4ab-1cde-4408-bfcd-aaf07cfea981"]},{"id":"ITEM-2","itemData":{"DOI":"https://doi.org/10.22219/jtlm.v1i1.27695","author":[{"dropping-particle":"","family":"Instruments","given":"Test","non-dropping-particle":"","parse-names":false,"suffix":""}],"id":"ITEM-2","issued":{"date-parts":[["2023"]]},"title":"( JTLM ) Teacher Competence in The Preparation of Test and Non-","type":"article-journal"},"uris":["http://www.mendeley.com/documents/?uuid=eeea06fb-7d1b-4919-82b0-86fa1c44f5d2"]},{"id":"ITEM-3","itemData":{"DOI":"10.4135/9781473914940.n16","ISBN":"9781473914940","abstract":"2nd ed. The first volume in The SAGE Handbook of Industrial, Organizational and Work Psychology introduces key concepts in personnel and employee performance from cognitive ability and the psychological predictors used in assessments to employee and team values.","author":[{"dropping-particle":"","family":"Viswesvaran","given":"Chockalingam","non-dropping-particle":"","parse-names":false,"suffix":""},{"dropping-particle":"","family":"Ones","given":"Deniz S.","non-dropping-particle":"","parse-names":false,"suffix":""}],"container-title":"The SAGE Handbook of Industrial, Work and Organizational Psychology: Personnel Psychology and Employee Performance","id":"ITEM-3","issue":"May","issued":{"date-parts":[["2017"]]},"number-of-pages":"451-472","title":"Non-Test Methods and Techniques Used in Employee Selection","type":"book"},"uris":["http://www.mendeley.com/documents/?uuid=56be5a29-eb13-49ff-a4c5-9dd3bec5c3b1"]}],"mendeley":{"formattedCitation":"(Instruments, 2023; Mínguez &amp; Jesus, 2015; Viswesvaran &amp; Ones, 2017)","plainTextFormattedCitation":"(Instruments, 2023; Mínguez &amp; Jesus, 2015; Viswesvaran &amp; Ones, 2017)","previouslyFormattedCitation":"(Instruments, 2023; Mínguez &amp; Jesus, 2015; Viswesvaran &amp; Ones, 2017)"},"properties":{"noteIndex":0},"schema":"https://github.com/citation-style-language/schema/raw/master/csl-citation.json"}</w:instrText>
      </w:r>
      <w:r w:rsidR="00BF5855">
        <w:rPr>
          <w:rFonts w:asciiTheme="majorHAnsi" w:hAnsiTheme="majorHAnsi" w:cs="Times New Roman"/>
          <w:lang w:val="en-AU"/>
        </w:rPr>
        <w:fldChar w:fldCharType="separate"/>
      </w:r>
      <w:r w:rsidR="00BF5855" w:rsidRPr="00BF5855">
        <w:rPr>
          <w:rFonts w:asciiTheme="majorHAnsi" w:hAnsiTheme="majorHAnsi" w:cs="Times New Roman"/>
          <w:noProof/>
          <w:lang w:val="en-AU"/>
        </w:rPr>
        <w:t>(Instruments, 2023; Mínguez &amp; Jesus, 2015; Viswesvaran &amp; Ones, 2017)</w:t>
      </w:r>
      <w:r w:rsidR="00BF5855">
        <w:rPr>
          <w:rFonts w:asciiTheme="majorHAnsi" w:hAnsiTheme="majorHAnsi" w:cs="Times New Roman"/>
          <w:lang w:val="en-AU"/>
        </w:rPr>
        <w:fldChar w:fldCharType="end"/>
      </w:r>
      <w:r w:rsidRPr="00641BED">
        <w:rPr>
          <w:rFonts w:asciiTheme="majorHAnsi" w:hAnsiTheme="majorHAnsi" w:cs="Times New Roman"/>
          <w:lang w:val="en-AU"/>
        </w:rPr>
        <w:t>.</w:t>
      </w:r>
    </w:p>
    <w:p w14:paraId="0CBD86A5" w14:textId="06687D28" w:rsidR="0018212D" w:rsidRPr="00641BED" w:rsidRDefault="0018212D" w:rsidP="0018212D">
      <w:pPr>
        <w:pStyle w:val="BodyText"/>
        <w:ind w:left="142" w:right="227" w:firstLine="425"/>
        <w:rPr>
          <w:rFonts w:asciiTheme="majorHAnsi" w:hAnsiTheme="majorHAnsi" w:cs="Times New Roman"/>
          <w:lang w:val="en-AU"/>
        </w:rPr>
      </w:pPr>
      <w:r w:rsidRPr="00641BED">
        <w:rPr>
          <w:rFonts w:asciiTheme="majorHAnsi" w:hAnsiTheme="majorHAnsi" w:cs="Times New Roman"/>
          <w:lang w:val="en-AU"/>
        </w:rPr>
        <w:t>The development of Android-based learning media is the aim of this research. To achieve optimal quality standards, this research applies the Research and development method</w:t>
      </w:r>
      <w:r w:rsidR="003F3A60">
        <w:rPr>
          <w:rFonts w:asciiTheme="majorHAnsi" w:hAnsiTheme="majorHAnsi" w:cs="Times New Roman"/>
          <w:lang w:val="en-AU"/>
        </w:rPr>
        <w:fldChar w:fldCharType="begin" w:fldLock="1"/>
      </w:r>
      <w:r w:rsidR="00BF5855">
        <w:rPr>
          <w:rFonts w:asciiTheme="majorHAnsi" w:hAnsiTheme="majorHAnsi" w:cs="Times New Roman"/>
          <w:lang w:val="en-AU"/>
        </w:rPr>
        <w:instrText>ADDIN CSL_CITATION {"citationItems":[{"id":"ITEM-1","itemData":{"DOI":"10.1177/135581969900400410","ISSN":"13558196","PMID":"10623041","abstract":"Background: Although there is debate about the appropriate place of guidelines in clinical practice, guidelines can be seen as one way of assisting clinicians in decision-making. Given the likely diversity of opinion that any group of people may display when considering a topic, methods are needed for organising subjective judgements. Three principal methods (Delphi, nominal group technique, consensus development conference) exist which share the common objective of synthesising judgements when a state of uncertainty exists. Objectives: To identify the factors that shape and influence the clinical guidelines that emerge from consensus development methods and to make recommendations about best practice in the use of such methods. Methods: Five electronic databases were searched: Medline (1966-1996), PsychLIT (1974-1996), Social Science Citation Index (1990-1996), ABI Inform and Sociofile. From the searches and reference lists of articles a total of 177 empirical and review articles were selected for review. Results: The output from consensus development methods may be affected by: the way the task is set (choice of cues, recognition of contextual cues, the focus of the task, the comprehensiveness of the scenarios); the selection of participants (choice of individuals, degree of homogeneity of the group, their background, their number); the selection and presentation of scientific information (format, extent to which its quality and content is assessed); the way any interaction is structured (number of rating rounds, ensuring equitable participation, physical environment for meetings); and the method of synthesising individual judgements (definition of agreement, rules governing outliers, method of mathematical aggregation). Conclusions: Although a considerable amount of research has been carried out, many aspects have not been investigated sufficiently. For the time being at least, advice on those aspects has, therefore, to be based on the user's own commonsense and the experience of those who have used or participated in these methods. Even in the long term, some aspects will not be amenable to scientific study. Meanwhile, adherence to best practice will enhance the validity, reliability and impact of the clinical guidelines produced.","author":[{"dropping-particle":"","family":"Black","given":"N.","non-dropping-particle":"","parse-names":false,"suffix":""},{"dropping-particle":"","family":"Murphy","given":"M.","non-dropping-particle":"","parse-names":false,"suffix":""},{"dropping-particle":"","family":"Lamping","given":"D.","non-dropping-particle":"","parse-names":false,"suffix":""},{"dropping-particle":"","family":"McKee","given":"M.","non-dropping-particle":"","parse-names":false,"suffix":""},{"dropping-particle":"","family":"Sanderson","given":"C.","non-dropping-particle":"","parse-names":false,"suffix":""},{"dropping-particle":"","family":"Askham","given":"J.","non-dropping-particle":"","parse-names":false,"suffix":""},{"dropping-particle":"","family":"Marteau","given":"T.","non-dropping-particle":"","parse-names":false,"suffix":""}],"container-title":"Journal of Health Services Research and Policy","id":"ITEM-1","issue":"4","issued":{"date-parts":[["1999"]]},"page":"236-248","title":"Consensus development methods: A review of best practice in creating clinical guidelines","type":"article-journal","volume":"4"},"uris":["http://www.mendeley.com/documents/?uuid=e90cbc07-1fc6-4564-afb1-f76e1e86a053"]},{"id":"ITEM-2","itemData":{"DOI":"10.4324/9780203826034","ISBN":"9780203826034","author":[{"dropping-particle":"","family":"Richey","given":"Rita C.","non-dropping-particle":"","parse-names":false,"suffix":""},{"dropping-particle":"","family":"Klein","given":"James D.","non-dropping-particle":"","parse-names":false,"suffix":""}],"id":"ITEM-2","issued":{"date-parts":[["2014","7","16"]]},"publisher":"Routledge","title":"Design and Development Research","type":"book"},"uris":["http://www.mendeley.com/documents/?uuid=3b8666e2-11f2-4d57-82ee-dfdb27b83112"]}],"mendeley":{"formattedCitation":"(Black et al., 1999; Richey &amp; Klein, 2014)","plainTextFormattedCitation":"(Black et al., 1999; Richey &amp; Klein, 2014)","previouslyFormattedCitation":"(Black et al., 1999; Richey &amp; Klein, 2014)"},"properties":{"noteIndex":0},"schema":"https://github.com/citation-style-language/schema/raw/master/csl-citation.json"}</w:instrText>
      </w:r>
      <w:r w:rsidR="003F3A60">
        <w:rPr>
          <w:rFonts w:asciiTheme="majorHAnsi" w:hAnsiTheme="majorHAnsi" w:cs="Times New Roman"/>
          <w:lang w:val="en-AU"/>
        </w:rPr>
        <w:fldChar w:fldCharType="separate"/>
      </w:r>
      <w:r w:rsidR="003F3A60" w:rsidRPr="003F3A60">
        <w:rPr>
          <w:rFonts w:asciiTheme="majorHAnsi" w:hAnsiTheme="majorHAnsi" w:cs="Times New Roman"/>
          <w:noProof/>
          <w:lang w:val="en-AU"/>
        </w:rPr>
        <w:t>(Black et al., 1999; Richey &amp; Klein, 2014)</w:t>
      </w:r>
      <w:r w:rsidR="003F3A60">
        <w:rPr>
          <w:rFonts w:asciiTheme="majorHAnsi" w:hAnsiTheme="majorHAnsi" w:cs="Times New Roman"/>
          <w:lang w:val="en-AU"/>
        </w:rPr>
        <w:fldChar w:fldCharType="end"/>
      </w:r>
      <w:r w:rsidRPr="00641BED">
        <w:rPr>
          <w:rFonts w:asciiTheme="majorHAnsi" w:hAnsiTheme="majorHAnsi" w:cs="Times New Roman"/>
          <w:lang w:val="en-AU"/>
        </w:rPr>
        <w:t xml:space="preserve"> Research and Development methods are used to produce a product and test its effectiveness.</w:t>
      </w:r>
    </w:p>
    <w:p w14:paraId="16AD408C" w14:textId="6526F926" w:rsidR="0018212D" w:rsidRPr="00641BED" w:rsidRDefault="0018212D" w:rsidP="0018212D">
      <w:pPr>
        <w:pStyle w:val="BodyText"/>
        <w:ind w:left="142" w:right="227" w:firstLine="425"/>
        <w:rPr>
          <w:rFonts w:asciiTheme="majorHAnsi" w:hAnsiTheme="majorHAnsi" w:cs="Times New Roman"/>
          <w:lang w:val="en-AU"/>
        </w:rPr>
      </w:pPr>
      <w:r w:rsidRPr="00641BED">
        <w:rPr>
          <w:rFonts w:asciiTheme="majorHAnsi" w:hAnsiTheme="majorHAnsi" w:cs="Times New Roman"/>
          <w:lang w:val="en-AU"/>
        </w:rPr>
        <w:t>Educational trends are currently experiencing significant digital technology advances</w:t>
      </w:r>
      <w:r w:rsidR="00A00277">
        <w:rPr>
          <w:rFonts w:asciiTheme="majorHAnsi" w:hAnsiTheme="majorHAnsi" w:cs="Times New Roman"/>
          <w:lang w:val="en-AU"/>
        </w:rPr>
        <w:fldChar w:fldCharType="begin" w:fldLock="1"/>
      </w:r>
      <w:r w:rsidR="007626CD">
        <w:rPr>
          <w:rFonts w:asciiTheme="majorHAnsi" w:hAnsiTheme="majorHAnsi" w:cs="Times New Roman"/>
          <w:lang w:val="en-AU"/>
        </w:rPr>
        <w:instrText>ADDIN CSL_CITATION {"citationItems":[{"id":"ITEM-1","itemData":{"DOI":"10.1007/978-981-10-8246-7_4","author":[{"dropping-particle":"","family":"Schuck","given":"Sandy","non-dropping-particle":"","parse-names":false,"suffix":""},{"dropping-particle":"","family":"Aubusson","given":"Peter","non-dropping-particle":"","parse-names":false,"suffix":""},{"dropping-particle":"","family":"Burden","given":"Kevin","non-dropping-particle":"","parse-names":false,"suffix":""},{"dropping-particle":"","family":"Brindley","given":"Sue","non-dropping-particle":"","parse-names":false,"suffix":""}],"container-title":"Uncertainty in Teacher Education Futures","id":"ITEM-1","issued":{"date-parts":[["2018"]]},"page":"43-61","publisher":"Springer Singapore","publisher-place":"Singapore","title":"Current Trends in Technology-Enhanced Learning","type":"chapter"},"uris":["http://www.mendeley.com/documents/?uuid=656aa34e-14d1-4167-b677-2d95168d92a6"]},{"id":"ITEM-2","itemData":{"DOI":"10.1007/978-981-16-3521-2_2","author":[{"dropping-particle":"","family":"Edwards","given":"Bosede I.","non-dropping-particle":"","parse-names":false,"suffix":""}],"id":"ITEM-2","issued":{"date-parts":[["2021"]]},"page":"7-18","title":"Emerging Trends in Education: Envisioning Future Learning Spaces and Classroom Interaction","type":"chapter"},"uris":["http://www.mendeley.com/documents/?uuid=59a3b405-fe30-4805-9fd8-789466057b64"]},{"id":"ITEM-3","itemData":{"DOI":"10.3390/su12052107","ISSN":"2071-1050","abstract":"Digital transformation in the education sector has implied the involvement of sustainable management, in order to adapt to the changes imposed by new technologies. Trends in global research on this topic have been analyzed and studied, during the 1986–2019 period. To achieve this purpose, a bibliometric study of 1590 articles from the Scopus database has been applied. The results provided data on the scientific productivity of authors, journals, institutions, and countries that contribute to the development of this research area. The evidence reveals an exponential trend, with special interest in the last five years. The main categories are Social Sciences and Environmental Science. The most productive journal is Sustainability. The author with more articles is Mulder, from The Hague University of Applied Sciences. The most productive institution is Delft University of Technology. The USA is the country with the most academic publications and international collaborations in its studies. The main keywords used in the articles are “sustainability”, “sustainable development”, “higher education”, “innovation”, “technology”, “environmental technology”, “technological development”, and “environmental management”. Global research has followed a growing trend, with optimal publication levels in recent years.","author":[{"dropping-particle":"","family":"Abad-Segura","given":"Emilio","non-dropping-particle":"","parse-names":false,"suffix":""},{"dropping-particle":"","family":"González-Zamar","given":"Mariana-Daniela","non-dropping-particle":"","parse-names":false,"suffix":""},{"dropping-particle":"","family":"Infante-Moro","given":"Juan C.","non-dropping-particle":"","parse-names":false,"suffix":""},{"dropping-particle":"","family":"Ruipérez García","given":"Germán","non-dropping-particle":"","parse-names":false,"suffix":""}],"container-title":"Sustainability","id":"ITEM-3","issue":"5","issued":{"date-parts":[["2020","3","9"]]},"page":"2107","title":"Sustainable Management of Digital Transformation in Higher Education: Global Research Trends","type":"article-journal","volume":"12"},"uris":["http://www.mendeley.com/documents/?uuid=39f6773b-a41a-47ec-8929-00ef5766fe70"]}],"mendeley":{"formattedCitation":"(Abad-Segura et al., 2020; Edwards, 2021; Schuck et al., 2018)","plainTextFormattedCitation":"(Abad-Segura et al., 2020; Edwards, 2021; Schuck et al., 2018)","previouslyFormattedCitation":"(Abad-Segura et al., 2020; Edwards, 2021; Schuck et al., 2018)"},"properties":{"noteIndex":0},"schema":"https://github.com/citation-style-language/schema/raw/master/csl-citation.json"}</w:instrText>
      </w:r>
      <w:r w:rsidR="00A00277">
        <w:rPr>
          <w:rFonts w:asciiTheme="majorHAnsi" w:hAnsiTheme="majorHAnsi" w:cs="Times New Roman"/>
          <w:lang w:val="en-AU"/>
        </w:rPr>
        <w:fldChar w:fldCharType="separate"/>
      </w:r>
      <w:r w:rsidR="00A00277" w:rsidRPr="00A00277">
        <w:rPr>
          <w:rFonts w:asciiTheme="majorHAnsi" w:hAnsiTheme="majorHAnsi" w:cs="Times New Roman"/>
          <w:noProof/>
          <w:lang w:val="en-AU"/>
        </w:rPr>
        <w:t>(Abad-Segura et al., 2020; Edwards, 2021; Schuck et al., 2018)</w:t>
      </w:r>
      <w:r w:rsidR="00A00277">
        <w:rPr>
          <w:rFonts w:asciiTheme="majorHAnsi" w:hAnsiTheme="majorHAnsi" w:cs="Times New Roman"/>
          <w:lang w:val="en-AU"/>
        </w:rPr>
        <w:fldChar w:fldCharType="end"/>
      </w:r>
      <w:r w:rsidRPr="00641BED">
        <w:rPr>
          <w:rFonts w:asciiTheme="majorHAnsi" w:hAnsiTheme="majorHAnsi" w:cs="Times New Roman"/>
          <w:lang w:val="en-AU"/>
        </w:rPr>
        <w:t>, one aspect of which is a change in learning methods through the use of interactive digital media based on mobile learning. It is believed that the use of interactive media can strengthen students' enthusiasm for learning.</w:t>
      </w:r>
    </w:p>
    <w:p w14:paraId="0F9206B1" w14:textId="019BF702" w:rsidR="004E1452" w:rsidRPr="00641BED" w:rsidRDefault="004E1452" w:rsidP="004E1452">
      <w:pPr>
        <w:pStyle w:val="BodyText"/>
        <w:ind w:left="142" w:right="227" w:firstLine="425"/>
        <w:rPr>
          <w:rFonts w:asciiTheme="majorHAnsi" w:hAnsiTheme="majorHAnsi" w:cs="Times New Roman"/>
          <w:lang w:val="en-AU"/>
        </w:rPr>
      </w:pPr>
    </w:p>
    <w:p w14:paraId="701760E1" w14:textId="77777777" w:rsidR="004E1452" w:rsidRPr="00641BED" w:rsidRDefault="004E1452" w:rsidP="004E1452">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ab/>
      </w:r>
    </w:p>
    <w:p w14:paraId="4BEC9ADD" w14:textId="6C95855F" w:rsidR="004E1452" w:rsidRPr="00641BED" w:rsidRDefault="004E1452" w:rsidP="004E1452">
      <w:pPr>
        <w:pStyle w:val="BodyText"/>
        <w:ind w:left="142" w:right="227"/>
        <w:rPr>
          <w:rFonts w:asciiTheme="majorHAnsi" w:hAnsiTheme="majorHAnsi" w:cs="Times New Roman"/>
          <w:lang w:val="en"/>
        </w:rPr>
      </w:pPr>
      <w:r w:rsidRPr="00641BED">
        <w:rPr>
          <w:rFonts w:asciiTheme="majorHAnsi" w:hAnsiTheme="majorHAnsi" w:cs="Times New Roman"/>
          <w:b/>
          <w:lang w:val="en"/>
        </w:rPr>
        <w:t>RESULTS AND DISCUSSION</w:t>
      </w:r>
    </w:p>
    <w:p w14:paraId="131E5C15" w14:textId="77777777" w:rsidR="004E1452" w:rsidRPr="00641BED" w:rsidRDefault="004E1452" w:rsidP="004E1452">
      <w:pPr>
        <w:pStyle w:val="BodyText"/>
        <w:ind w:left="142" w:right="227" w:firstLine="425"/>
        <w:rPr>
          <w:rFonts w:asciiTheme="majorHAnsi" w:hAnsiTheme="majorHAnsi" w:cs="Times New Roman"/>
          <w:b/>
          <w:bCs/>
          <w:lang w:val="en"/>
        </w:rPr>
      </w:pPr>
    </w:p>
    <w:p w14:paraId="1BA35A3A" w14:textId="4092787E"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Based on the Borg and Gall model</w:t>
      </w:r>
      <w:r w:rsidR="00BF5855">
        <w:rPr>
          <w:rFonts w:asciiTheme="majorHAnsi" w:hAnsiTheme="majorHAnsi" w:cs="Times New Roman"/>
          <w:lang w:val="en"/>
        </w:rPr>
        <w:fldChar w:fldCharType="begin" w:fldLock="1"/>
      </w:r>
      <w:r w:rsidR="00A00277">
        <w:rPr>
          <w:rFonts w:asciiTheme="majorHAnsi" w:hAnsiTheme="majorHAnsi" w:cs="Times New Roman"/>
          <w:lang w:val="en"/>
        </w:rPr>
        <w:instrText>ADDIN CSL_CITATION {"citationItems":[{"id":"ITEM-1","itemData":{"DOI":"10.1063/5.0148011","author":[{"dropping-particle":"","family":"Firman","given":"","non-dropping-particle":"","parse-names":false,"suffix":""},{"dropping-particle":"","family":"Mirnawati","given":"","non-dropping-particle":"","parse-names":false,"suffix":""}],"id":"ITEM-1","issued":{"date-parts":[["2023"]]},"page":"090029","title":"How to develop scientific writing techniques teaching materials with the development of the Borg &amp;amp; Gall model","type":"paper-conference"},"uris":["http://www.mendeley.com/documents/?uuid=7e6c70e1-a364-4359-95b6-ceacabe29b4c"]},{"id":"ITEM-2","itemData":{"DOI":"10.15294/dp.v12i2.13559","ISSN":"1907-3720","abstract":"This research aims to develop financial accounting learning tools namely; development of lesson plan, handouts, and learning media. The object of this research was the 11th grade students of accounting study program in Muhammadiyah 03 High Vocational School Singosari. The model of learning device development used Gall and Borg model. The stages were 1) Initial Needs Analysis; 2) Initial Product Developing; 3) Validation; 4) Product Revision I; 5) Limited Field Trial; 6) Product Revision II; 7) Field Trial; and 8) Final Product. The result of the research shows that the learning tools on financial accounting subject are valid/proper to be used. It is  proven by the score of material expert judgment that is 82.8%, by the media expert that is 98.6%, by the education expert that is 86%, by the limited field trial (students and teachers ) that are 87.7% and 80.7%, and by Field trials that is 80.2%. In field trials, the development of learning tools can improve student learning outcomes. There are only 3 students who got their grades below the minimum mastery standard.","author":[{"dropping-particle":"","family":"Putri","given":"Reni Sovia","non-dropping-particle":"","parse-names":false,"suffix":""},{"dropping-particle":"","family":"Wardoyo","given":"Cipto","non-dropping-particle":"","parse-names":false,"suffix":""}],"container-title":"Dinamika Pendidikan","id":"ITEM-2","issue":"2","issued":{"date-parts":[["2018"]]},"page":"86-97","title":"The Development of Financial Accounting Learning Tools with Gall and Borg Model","type":"article-journal","volume":"12"},"uris":["http://www.mendeley.com/documents/?uuid=8e3e90f9-9982-4772-84bb-c199c7aa2233"]},{"id":"ITEM-3","itemData":{"DOI":"10.1088/1742-6596/1318/1/012022","ISSN":"17426596","abstract":"Interactive multimedia has different development characteristics with other media. This article aims to form an interactive multimedia development model in elementary schools by integrating the development model of Borg &amp; Gall and Lee &amp; Owen. The formulation of these steps is the integration of the development model of Borg &amp; Gall (1983) and Lee &amp; Owen (2004). Borg &amp; Gall focuses on developing new research-based, ready-to-use research products and Lee &amp; Owen that are more specific in developing interactive multimedia products. Through the analysis of the advantages and limitations of each stage of Borg &amp; Gall and Lee &amp; Owen models can be formulated integration steps become as follows: (1) Research and Information Collecting; (2) Planning; (3) Development of Preliminary Form of Product; (4) Expert Evaluation; (5) Revisions Based on Expert Evaluation Results (Revision 1); (6) Preliminary Field Testing; (7) Main Product Revision (Revision 2); (8) Main Field Testing; (9) Operational Product Revision (Revision 3); (10) Operational Field Testing; (11) Final Product Revision (Revision 4); (12) Dissemination and Implementation. The considerations of the researchers to formulate the 12 stages are: (1) advantages of the comprehensive Borg &amp; gall model, with a research-based product development stage and very rigorous testing phases, (2) the advantages of Lee &amp; Owen's model that focuses on development principles interactive multimedia, (3) the trend of interactive multimedia development research in the scope of elementary schools, and (4) the development of the era that increasingly demands technology-based media for students. The twelve stages formulated by the author above can be adjusted or modified by reducing/adding/changing according to the need to maximize research activities by other.","author":[{"dropping-particle":"","family":"Aka","given":"K. A.","non-dropping-particle":"","parse-names":false,"suffix":""}],"container-title":"Journal of Physics: Conference Series","id":"ITEM-3","issue":"1","issued":{"date-parts":[["2019"]]},"title":"Integration Borg &amp; Gall (1983) and Lee &amp; Owen (2004) models as an alternative model of design-based research of interactive multimedia in elementary school","type":"article-journal","volume":"1318"},"uris":["http://www.mendeley.com/documents/?uuid=a09920fd-4691-41bf-9f7f-9310bed0c880"]}],"mendeley":{"formattedCitation":"(Aka, 2019; Firman &amp; Mirnawati, 2023; Putri &amp; Wardoyo, 2018)","plainTextFormattedCitation":"(Aka, 2019; Firman &amp; Mirnawati, 2023; Putri &amp; Wardoyo, 2018)","previouslyFormattedCitation":"(Aka, 2019; Firman &amp; Mirnawati, 2023; Putri &amp; Wardoyo, 2018)"},"properties":{"noteIndex":0},"schema":"https://github.com/citation-style-language/schema/raw/master/csl-citation.json"}</w:instrText>
      </w:r>
      <w:r w:rsidR="00BF5855">
        <w:rPr>
          <w:rFonts w:asciiTheme="majorHAnsi" w:hAnsiTheme="majorHAnsi" w:cs="Times New Roman"/>
          <w:lang w:val="en"/>
        </w:rPr>
        <w:fldChar w:fldCharType="separate"/>
      </w:r>
      <w:r w:rsidR="00BF5855" w:rsidRPr="00BF5855">
        <w:rPr>
          <w:rFonts w:asciiTheme="majorHAnsi" w:hAnsiTheme="majorHAnsi" w:cs="Times New Roman"/>
          <w:noProof/>
          <w:lang w:val="en"/>
        </w:rPr>
        <w:t>(Aka, 2019; Firman &amp; Mirnawati, 2023; Putri &amp; Wardoyo, 2018)</w:t>
      </w:r>
      <w:r w:rsidR="00BF5855">
        <w:rPr>
          <w:rFonts w:asciiTheme="majorHAnsi" w:hAnsiTheme="majorHAnsi" w:cs="Times New Roman"/>
          <w:lang w:val="en"/>
        </w:rPr>
        <w:fldChar w:fldCharType="end"/>
      </w:r>
      <w:r w:rsidRPr="00641BED">
        <w:rPr>
          <w:rFonts w:asciiTheme="majorHAnsi" w:hAnsiTheme="majorHAnsi" w:cs="Times New Roman"/>
          <w:lang w:val="en"/>
        </w:rPr>
        <w:t>, there are ten procedural stages in development research, which include data collection, planning, making initial forms of devices, initial stage testing, revisions, field trials, re-revisions, further trials, revisions, and dissemination and implementation. product:</w:t>
      </w:r>
    </w:p>
    <w:p w14:paraId="64C92EE5"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Initial Research &amp; Information Collection</w:t>
      </w:r>
    </w:p>
    <w:p w14:paraId="15190081"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Before starting research, researchers conduct preliminary studies or exploratory research to analyze, explore and collect related information. These steps include needs analysis, literature review, initial observations in the classroom environment, identification of problems that arise in the learning process, and data collection regarding factors that support and hinder learning.</w:t>
      </w:r>
    </w:p>
    <w:p w14:paraId="7B350B42"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Planning</w:t>
      </w:r>
    </w:p>
    <w:p w14:paraId="3CFDDE3C"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In designing a product development design plan, researchers consider important aspects such as product specifications, goals and benefits to be achieved, target group of product users, reasons why the product is considered important, location of product development, and the development process that will be carried out.</w:t>
      </w:r>
    </w:p>
    <w:p w14:paraId="724375FE"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Develop Preliminary Form of Product</w:t>
      </w:r>
    </w:p>
    <w:p w14:paraId="21127515"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 xml:space="preserve">Next, the researcher begins the process of developing an initial, temporary product, in the form of a hypothesis. The product is designed completely and carefully, including compiling </w:t>
      </w:r>
      <w:r w:rsidRPr="00641BED">
        <w:rPr>
          <w:rFonts w:asciiTheme="majorHAnsi" w:hAnsiTheme="majorHAnsi" w:cs="Times New Roman"/>
          <w:lang w:val="en"/>
        </w:rPr>
        <w:lastRenderedPageBreak/>
        <w:t>program components in detail, providing implementation guides and technical instructions, including examples of questions or exercises, planning the use of relevant learning media, and designing an appropriate assessment system.</w:t>
      </w:r>
    </w:p>
    <w:p w14:paraId="5C225801"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Initial Trial/Preliminary Field Testing</w:t>
      </w:r>
    </w:p>
    <w:p w14:paraId="2C97131A" w14:textId="7AA91F51"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 xml:space="preserve">After the initial development stage, researchers conducted limited product trials in the field involving two to three schools involving between 10 and 15 participants. During the trial period, researchers observed the activities of the subjects, namely the teachers, in using the product. </w:t>
      </w:r>
      <w:r w:rsidR="00F476A8">
        <w:rPr>
          <w:rFonts w:asciiTheme="majorHAnsi" w:hAnsiTheme="majorHAnsi" w:cs="Times New Roman"/>
          <w:lang w:val="en"/>
        </w:rPr>
        <w:fldChar w:fldCharType="begin" w:fldLock="1"/>
      </w:r>
      <w:r w:rsidR="005D2D97">
        <w:rPr>
          <w:rFonts w:asciiTheme="majorHAnsi" w:hAnsiTheme="majorHAnsi" w:cs="Times New Roman"/>
          <w:lang w:val="en"/>
        </w:rPr>
        <w:instrText>ADDIN CSL_CITATION {"citationItems":[{"id":"ITEM-1","itemData":{"DOI":"10.1002/rev3.3292","ISSN":"2049-6613","author":[{"dropping-particle":"","family":"Morris","given":"Rebecca","non-dropping-particle":"","parse-names":false,"suffix":""},{"dropping-particle":"","family":"Perry","given":"Thomas","non-dropping-particle":"","parse-names":false,"suffix":""},{"dropping-particle":"","family":"Wardle","given":"Lindsey","non-dropping-particle":"","parse-names":false,"suffix":""}],"container-title":"Review of Education","id":"ITEM-1","issue":"3","issued":{"date-parts":[["2021","10","27"]]},"title":"Formative assessment and feedback for learning in higher education: A systematic review","type":"article-journal","volume":"9"},"uris":["http://www.mendeley.com/documents/?uuid=18c98596-3989-4401-bf38-1bd313820e50"]},{"id":"ITEM-2","itemData":{"DOI":"10.1111/bjet.13049","ISSN":"0007-1013","author":[{"dropping-particle":"","family":"Moro","given":"Christian","non-dropping-particle":"","parse-names":false,"suffix":""},{"dropping-particle":"","family":"Phelps","given":"Charlotte","non-dropping-particle":"","parse-names":false,"suffix":""},{"dropping-particle":"","family":"Redmond","given":"Petrea","non-dropping-particle":"","parse-names":false,"suffix":""},{"dropping-particle":"","family":"Stromberga","given":"Zane","non-dropping-particle":"","parse-names":false,"suffix":""}],"container-title":"British Journal of Educational Technology","id":"ITEM-2","issue":"2","issued":{"date-parts":[["2021","3","2"]]},"page":"680-694","title":"HoloLens and mobile augmented reality in medical and health science education: A randomised controlled trial","type":"article-journal","volume":"52"},"uris":["http://www.mendeley.com/documents/?uuid=0af07504-6ae8-4cd8-9471-a51ef4d689c7"]},{"id":"ITEM-3","itemData":{"DOI":"10.1016/j.cptl.2016.03.021","ISSN":"18771297","author":[{"dropping-particle":"","family":"Rosenthal","given":"Meagen","non-dropping-particle":"","parse-names":false,"suffix":""}],"container-title":"Currents in Pharmacy Teaching and Learning","id":"ITEM-3","issue":"4","issued":{"date-parts":[["2016","7"]]},"page":"509-516","title":"Qualitative research methods: Why, when, and how to conduct interviews and focus groups in pharmacy research","type":"article-journal","volume":"8"},"uris":["http://www.mendeley.com/documents/?uuid=02982f2d-e78a-40b0-9400-a72cb856ea8b"]}],"mendeley":{"formattedCitation":"(Moro et al., 2021; Morris et al., 2021; Rosenthal, 2016)","plainTextFormattedCitation":"(Moro et al., 2021; Morris et al., 2021; Rosenthal, 2016)","previouslyFormattedCitation":"(Moro et al., 2021; Morris et al., 2021; Rosenthal, 2016)"},"properties":{"noteIndex":0},"schema":"https://github.com/citation-style-language/schema/raw/master/csl-citation.json"}</w:instrText>
      </w:r>
      <w:r w:rsidR="00F476A8">
        <w:rPr>
          <w:rFonts w:asciiTheme="majorHAnsi" w:hAnsiTheme="majorHAnsi" w:cs="Times New Roman"/>
          <w:lang w:val="en"/>
        </w:rPr>
        <w:fldChar w:fldCharType="separate"/>
      </w:r>
      <w:r w:rsidR="00F476A8" w:rsidRPr="00F476A8">
        <w:rPr>
          <w:rFonts w:asciiTheme="majorHAnsi" w:hAnsiTheme="majorHAnsi" w:cs="Times New Roman"/>
          <w:noProof/>
          <w:lang w:val="en"/>
        </w:rPr>
        <w:t>(Moro et al., 2021; Morris et al., 2021; Rosenthal, 2016)</w:t>
      </w:r>
      <w:r w:rsidR="00F476A8">
        <w:rPr>
          <w:rFonts w:asciiTheme="majorHAnsi" w:hAnsiTheme="majorHAnsi" w:cs="Times New Roman"/>
          <w:lang w:val="en"/>
        </w:rPr>
        <w:fldChar w:fldCharType="end"/>
      </w:r>
      <w:r w:rsidRPr="00641BED">
        <w:rPr>
          <w:rFonts w:asciiTheme="majorHAnsi" w:hAnsiTheme="majorHAnsi" w:cs="Times New Roman"/>
          <w:lang w:val="en"/>
        </w:rPr>
        <w:t>After the trial was completed, the researcher held an in-depth discussion with the subjects and gave them a questionnaire to obtain their responses.</w:t>
      </w:r>
    </w:p>
    <w:p w14:paraId="3AC4A623"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Product Revision/Main Product Revision</w:t>
      </w:r>
    </w:p>
    <w:p w14:paraId="25265074"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After the limited trial phase, researchers carried out initial revisions to the main product, based on the findings from the trial, including analysis from discussions, observations, interviews and the results of questionnaires that had been conducted.</w:t>
      </w:r>
    </w:p>
    <w:p w14:paraId="49E92D69"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Field Trial/Main Field Testing</w:t>
      </w:r>
    </w:p>
    <w:p w14:paraId="117FE2A0"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The next step is to carry out product trials on a larger scale, involving between five and ten schools, with between 20 and 50 participants.</w:t>
      </w:r>
    </w:p>
    <w:p w14:paraId="7225C08E"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Product/Operational Revisions</w:t>
      </w:r>
    </w:p>
    <w:p w14:paraId="2D58FCC6"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In the product improvement process, researchers carried out second stage revisions based on feedback and recommendations from trials involving a larger scale.</w:t>
      </w:r>
    </w:p>
    <w:p w14:paraId="49E61511"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Field Trials/Operational Field Testing</w:t>
      </w:r>
    </w:p>
    <w:p w14:paraId="1AC2FE8D"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Next, a field test was carried out involving the participation of between 10 and 30 students. Data was collected through the process of interviews, observations, and submitting questionnaires.</w:t>
      </w:r>
    </w:p>
    <w:p w14:paraId="45AC24BD"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Final Product Revision/Final Product Revision</w:t>
      </w:r>
    </w:p>
    <w:p w14:paraId="780A455E" w14:textId="77777777"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The next step is to revise the final product, taking into account suggestions and input that emerged during the field implementation test.</w:t>
      </w:r>
    </w:p>
    <w:p w14:paraId="3D1417C4" w14:textId="77777777" w:rsidR="00536343" w:rsidRPr="00641BED" w:rsidRDefault="00536343" w:rsidP="00536343">
      <w:pPr>
        <w:pStyle w:val="BodyText"/>
        <w:ind w:left="142" w:right="227"/>
        <w:rPr>
          <w:rFonts w:asciiTheme="majorHAnsi" w:hAnsiTheme="majorHAnsi" w:cs="Times New Roman"/>
          <w:b/>
          <w:bCs/>
          <w:lang w:val="en"/>
        </w:rPr>
      </w:pPr>
      <w:r w:rsidRPr="00641BED">
        <w:rPr>
          <w:rFonts w:asciiTheme="majorHAnsi" w:hAnsiTheme="majorHAnsi" w:cs="Times New Roman"/>
          <w:b/>
          <w:bCs/>
          <w:lang w:val="en"/>
        </w:rPr>
        <w:t>Dissemination and Implementation</w:t>
      </w:r>
    </w:p>
    <w:p w14:paraId="7D53A792" w14:textId="02A0F629" w:rsidR="00536343" w:rsidRPr="00641BED" w:rsidRDefault="00536343" w:rsidP="00536343">
      <w:pPr>
        <w:pStyle w:val="BodyText"/>
        <w:ind w:left="142" w:right="227" w:firstLine="425"/>
        <w:rPr>
          <w:rFonts w:asciiTheme="majorHAnsi" w:hAnsiTheme="majorHAnsi" w:cs="Times New Roman"/>
          <w:lang w:val="en"/>
        </w:rPr>
      </w:pPr>
      <w:r w:rsidRPr="00641BED">
        <w:rPr>
          <w:rFonts w:asciiTheme="majorHAnsi" w:hAnsiTheme="majorHAnsi" w:cs="Times New Roman"/>
          <w:lang w:val="en"/>
        </w:rPr>
        <w:t xml:space="preserve">Researchers distribute their products to be introduced to various parties, both at the local, regional and national levels. This is done through direct meetings and publications in scientific journals. If the product is commercial, researchers will work closely with publishers to ensure effective dissemination of the product, while monitoring distribution and quality control. In order to carry out research and development, researchers followed a ten-step procedure according to the Borg and Gall model. The steps include data collection, planning, initial development of the device, initial stage testing, </w:t>
      </w:r>
      <w:r w:rsidRPr="00641BED">
        <w:rPr>
          <w:rFonts w:asciiTheme="majorHAnsi" w:hAnsiTheme="majorHAnsi" w:cs="Times New Roman"/>
          <w:lang w:val="en"/>
        </w:rPr>
        <w:lastRenderedPageBreak/>
        <w:t xml:space="preserve">revisions, field trials, re-revisions, further trials, revisions, as well as product dissemination and implementation.  </w:t>
      </w:r>
    </w:p>
    <w:p w14:paraId="23E07682" w14:textId="77777777" w:rsidR="006B2608" w:rsidRPr="00641BED" w:rsidRDefault="006B2608" w:rsidP="00536343">
      <w:pPr>
        <w:pStyle w:val="BodyText"/>
        <w:ind w:left="142" w:right="227" w:firstLine="425"/>
        <w:rPr>
          <w:rFonts w:asciiTheme="majorHAnsi" w:hAnsiTheme="majorHAnsi" w:cs="Times New Roman"/>
          <w:lang w:val="en"/>
        </w:rPr>
      </w:pPr>
    </w:p>
    <w:p w14:paraId="19498E3C" w14:textId="77777777" w:rsidR="006B2608" w:rsidRPr="00641BED" w:rsidRDefault="006B2608" w:rsidP="006B2608">
      <w:pPr>
        <w:ind w:left="142" w:right="1320"/>
        <w:rPr>
          <w:rFonts w:ascii="Calisto MT" w:eastAsia="Calisto MT" w:hAnsi="Calisto MT" w:cs="Calisto MT"/>
        </w:rPr>
      </w:pPr>
      <w:r w:rsidRPr="00641BED">
        <w:rPr>
          <w:rFonts w:ascii="Calisto MT" w:eastAsia="Calisto MT" w:hAnsi="Calisto MT" w:cs="Calisto MT"/>
          <w:b/>
        </w:rPr>
        <w:t>CONC</w:t>
      </w:r>
      <w:r w:rsidRPr="00641BED">
        <w:rPr>
          <w:rFonts w:ascii="Calisto MT" w:eastAsia="Calisto MT" w:hAnsi="Calisto MT" w:cs="Calisto MT"/>
          <w:b/>
          <w:spacing w:val="-6"/>
        </w:rPr>
        <w:t>L</w:t>
      </w:r>
      <w:r w:rsidRPr="00641BED">
        <w:rPr>
          <w:rFonts w:ascii="Calisto MT" w:eastAsia="Calisto MT" w:hAnsi="Calisto MT" w:cs="Calisto MT"/>
          <w:b/>
        </w:rPr>
        <w:t>USION</w:t>
      </w:r>
    </w:p>
    <w:p w14:paraId="2CB5493E" w14:textId="35E24600" w:rsidR="004E1452" w:rsidRPr="00641BED" w:rsidRDefault="006B2608" w:rsidP="006B2608">
      <w:pPr>
        <w:pStyle w:val="BodyText"/>
        <w:ind w:left="142" w:right="227" w:firstLine="425"/>
        <w:rPr>
          <w:rFonts w:asciiTheme="majorHAnsi" w:hAnsiTheme="majorHAnsi" w:cs="Times New Roman"/>
          <w:lang w:val="en"/>
        </w:rPr>
      </w:pPr>
      <w:r w:rsidRPr="00C40193">
        <w:rPr>
          <w:rFonts w:asciiTheme="majorHAnsi" w:hAnsiTheme="majorHAnsi" w:cs="Times New Roman"/>
          <w:lang w:val="en"/>
        </w:rPr>
        <w:t>The resulting product is Android-based learning media on the subjects of Islamic Religion and Character with the material of Believing in Allah's Books. The entire learning media product consists of text, images, animation and sound, so it is very interesting and interactive to use as learning media in schools. Learning media based on the Android platform has passed a validation process by various experts, including media experts, design experts and material experts, which shows that the product meets the expected quality standards. Then trials carried out on students on an individual scale obtained "good" eligibility criteria, small-scale trials obtained "good" eligibility criteria, and large-scale trials obtained "good" eligibility criteria. So it can be concluded that this Android-based learning media has a good level of product feasibility and attractiveness. Based on the data obtained, Android-based learning media in the subjects of Islamic Religion and Character with the material of Believing in Allah's Books can be said to be suitable for application in schools.</w:t>
      </w:r>
    </w:p>
    <w:p w14:paraId="41C7AB3C" w14:textId="77777777" w:rsidR="004E1452" w:rsidRPr="00641BED" w:rsidRDefault="004E1452" w:rsidP="004E1452">
      <w:pPr>
        <w:pStyle w:val="BodyText"/>
        <w:ind w:left="142" w:right="227" w:firstLine="425"/>
        <w:rPr>
          <w:rFonts w:asciiTheme="majorHAnsi" w:hAnsiTheme="majorHAnsi" w:cs="Times New Roman"/>
          <w:lang w:val="en-AU"/>
        </w:rPr>
      </w:pPr>
    </w:p>
    <w:p w14:paraId="2401033A" w14:textId="62C7C5F5" w:rsidR="004E1452" w:rsidRPr="00641BED" w:rsidRDefault="004E1452" w:rsidP="004E1452">
      <w:pPr>
        <w:pStyle w:val="BodyText"/>
        <w:ind w:left="142" w:right="227"/>
        <w:rPr>
          <w:rFonts w:asciiTheme="majorHAnsi" w:hAnsiTheme="majorHAnsi" w:cs="Times New Roman"/>
          <w:b/>
          <w:lang w:val="en"/>
        </w:rPr>
      </w:pPr>
      <w:r w:rsidRPr="00641BED">
        <w:rPr>
          <w:rFonts w:asciiTheme="majorHAnsi" w:hAnsiTheme="majorHAnsi" w:cs="Times New Roman"/>
          <w:b/>
          <w:lang w:val="en"/>
        </w:rPr>
        <w:t>REFERENCES</w:t>
      </w:r>
    </w:p>
    <w:p w14:paraId="0FB54FCE" w14:textId="77777777" w:rsidR="004E1452" w:rsidRPr="00641BED" w:rsidRDefault="004E1452" w:rsidP="004E1452">
      <w:pPr>
        <w:pStyle w:val="BodyText"/>
        <w:ind w:left="567" w:right="227" w:hanging="425"/>
        <w:rPr>
          <w:rFonts w:asciiTheme="majorHAnsi" w:hAnsiTheme="majorHAnsi" w:cs="Times New Roman"/>
          <w:lang w:val="en"/>
        </w:rPr>
      </w:pPr>
    </w:p>
    <w:p w14:paraId="3A234A87" w14:textId="3DDF8977" w:rsidR="005D2D97" w:rsidRPr="005D2D97" w:rsidRDefault="004E1452" w:rsidP="005D2D97">
      <w:pPr>
        <w:adjustRightInd w:val="0"/>
        <w:ind w:left="480" w:hanging="480"/>
        <w:rPr>
          <w:rFonts w:cs="Times New Roman"/>
          <w:noProof/>
          <w:sz w:val="20"/>
          <w:szCs w:val="24"/>
        </w:rPr>
      </w:pPr>
      <w:r w:rsidRPr="00641BED">
        <w:rPr>
          <w:rFonts w:asciiTheme="majorHAnsi" w:hAnsiTheme="majorHAnsi" w:cs="Times New Roman"/>
          <w:lang w:val="en"/>
        </w:rPr>
        <w:fldChar w:fldCharType="begin" w:fldLock="1"/>
      </w:r>
      <w:r w:rsidRPr="00641BED">
        <w:rPr>
          <w:rFonts w:asciiTheme="majorHAnsi" w:hAnsiTheme="majorHAnsi" w:cs="Times New Roman"/>
          <w:lang w:val="en"/>
        </w:rPr>
        <w:instrText xml:space="preserve">ADDIN Mendeley Bibliography CSL_BIBLIOGRAPHY </w:instrText>
      </w:r>
      <w:r w:rsidRPr="00641BED">
        <w:rPr>
          <w:rFonts w:asciiTheme="majorHAnsi" w:hAnsiTheme="majorHAnsi" w:cs="Times New Roman"/>
          <w:lang w:val="en"/>
        </w:rPr>
        <w:fldChar w:fldCharType="separate"/>
      </w:r>
      <w:r w:rsidR="005D2D97" w:rsidRPr="005D2D97">
        <w:rPr>
          <w:rFonts w:cs="Times New Roman"/>
          <w:noProof/>
          <w:sz w:val="20"/>
          <w:szCs w:val="24"/>
        </w:rPr>
        <w:t xml:space="preserve">Abad-Segura, E., González-Zamar, M.-D., Infante-Moro, J. C., &amp; Ruipérez García, G. (2020). Sustainable Management of Digital Transformation in Higher Education: Global Research Trends. </w:t>
      </w:r>
      <w:r w:rsidR="005D2D97" w:rsidRPr="005D2D97">
        <w:rPr>
          <w:rFonts w:cs="Times New Roman"/>
          <w:i/>
          <w:iCs/>
          <w:noProof/>
          <w:sz w:val="20"/>
          <w:szCs w:val="24"/>
        </w:rPr>
        <w:t>Sustainability</w:t>
      </w:r>
      <w:r w:rsidR="005D2D97" w:rsidRPr="005D2D97">
        <w:rPr>
          <w:rFonts w:cs="Times New Roman"/>
          <w:noProof/>
          <w:sz w:val="20"/>
          <w:szCs w:val="24"/>
        </w:rPr>
        <w:t xml:space="preserve">, </w:t>
      </w:r>
      <w:r w:rsidR="005D2D97" w:rsidRPr="005D2D97">
        <w:rPr>
          <w:rFonts w:cs="Times New Roman"/>
          <w:i/>
          <w:iCs/>
          <w:noProof/>
          <w:sz w:val="20"/>
          <w:szCs w:val="24"/>
        </w:rPr>
        <w:t>12</w:t>
      </w:r>
      <w:r w:rsidR="005D2D97" w:rsidRPr="005D2D97">
        <w:rPr>
          <w:rFonts w:cs="Times New Roman"/>
          <w:noProof/>
          <w:sz w:val="20"/>
          <w:szCs w:val="24"/>
        </w:rPr>
        <w:t>(5), 2107. https://doi.org/10.3390/su12052107</w:t>
      </w:r>
    </w:p>
    <w:p w14:paraId="76EEE38C"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Aka, K. A. (2019). Integration Borg &amp; Gall (1983) and Lee &amp; Owen (2004) models as an alternative model of design-based research of interactive multimedia in elementary school. </w:t>
      </w:r>
      <w:r w:rsidRPr="005D2D97">
        <w:rPr>
          <w:rFonts w:cs="Times New Roman"/>
          <w:i/>
          <w:iCs/>
          <w:noProof/>
          <w:sz w:val="20"/>
          <w:szCs w:val="24"/>
        </w:rPr>
        <w:t>Journal of Physics: Conference Series</w:t>
      </w:r>
      <w:r w:rsidRPr="005D2D97">
        <w:rPr>
          <w:rFonts w:cs="Times New Roman"/>
          <w:noProof/>
          <w:sz w:val="20"/>
          <w:szCs w:val="24"/>
        </w:rPr>
        <w:t xml:space="preserve">, </w:t>
      </w:r>
      <w:r w:rsidRPr="005D2D97">
        <w:rPr>
          <w:rFonts w:cs="Times New Roman"/>
          <w:i/>
          <w:iCs/>
          <w:noProof/>
          <w:sz w:val="20"/>
          <w:szCs w:val="24"/>
        </w:rPr>
        <w:t>1318</w:t>
      </w:r>
      <w:r w:rsidRPr="005D2D97">
        <w:rPr>
          <w:rFonts w:cs="Times New Roman"/>
          <w:noProof/>
          <w:sz w:val="20"/>
          <w:szCs w:val="24"/>
        </w:rPr>
        <w:t>(1). https://doi.org/10.1088/1742-6596/1318/1/012022</w:t>
      </w:r>
    </w:p>
    <w:p w14:paraId="459C6F24"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Black, N., Murphy, M., Lamping, D., McKee, M., Sanderson, C., Askham, J., &amp; Marteau, T. (1999). Consensus development methods: A review of best practice in creating clinical guidelines. </w:t>
      </w:r>
      <w:r w:rsidRPr="005D2D97">
        <w:rPr>
          <w:rFonts w:cs="Times New Roman"/>
          <w:i/>
          <w:iCs/>
          <w:noProof/>
          <w:sz w:val="20"/>
          <w:szCs w:val="24"/>
        </w:rPr>
        <w:t>Journal of Health Services Research and Policy</w:t>
      </w:r>
      <w:r w:rsidRPr="005D2D97">
        <w:rPr>
          <w:rFonts w:cs="Times New Roman"/>
          <w:noProof/>
          <w:sz w:val="20"/>
          <w:szCs w:val="24"/>
        </w:rPr>
        <w:t xml:space="preserve">, </w:t>
      </w:r>
      <w:r w:rsidRPr="005D2D97">
        <w:rPr>
          <w:rFonts w:cs="Times New Roman"/>
          <w:i/>
          <w:iCs/>
          <w:noProof/>
          <w:sz w:val="20"/>
          <w:szCs w:val="24"/>
        </w:rPr>
        <w:t>4</w:t>
      </w:r>
      <w:r w:rsidRPr="005D2D97">
        <w:rPr>
          <w:rFonts w:cs="Times New Roman"/>
          <w:noProof/>
          <w:sz w:val="20"/>
          <w:szCs w:val="24"/>
        </w:rPr>
        <w:t>(4), 236–248. https://doi.org/10.1177/135581969900400410</w:t>
      </w:r>
    </w:p>
    <w:p w14:paraId="1D608688"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Budiman, J. (2021). Evaluasi Pelaksanaan Pembelajaran Daring Di Indonesia Selama Masa Pandemi Covid-19. </w:t>
      </w:r>
      <w:r w:rsidRPr="005D2D97">
        <w:rPr>
          <w:rFonts w:cs="Times New Roman"/>
          <w:i/>
          <w:iCs/>
          <w:noProof/>
          <w:sz w:val="20"/>
          <w:szCs w:val="24"/>
        </w:rPr>
        <w:t>VOX EDUKASI: Jurnal Ilmiah Ilmu Pendidikan</w:t>
      </w:r>
      <w:r w:rsidRPr="005D2D97">
        <w:rPr>
          <w:rFonts w:cs="Times New Roman"/>
          <w:noProof/>
          <w:sz w:val="20"/>
          <w:szCs w:val="24"/>
        </w:rPr>
        <w:t xml:space="preserve">, </w:t>
      </w:r>
      <w:r w:rsidRPr="005D2D97">
        <w:rPr>
          <w:rFonts w:cs="Times New Roman"/>
          <w:i/>
          <w:iCs/>
          <w:noProof/>
          <w:sz w:val="20"/>
          <w:szCs w:val="24"/>
        </w:rPr>
        <w:t>12</w:t>
      </w:r>
      <w:r w:rsidRPr="005D2D97">
        <w:rPr>
          <w:rFonts w:cs="Times New Roman"/>
          <w:noProof/>
          <w:sz w:val="20"/>
          <w:szCs w:val="24"/>
        </w:rPr>
        <w:t>(1), 104–113. https://doi.org/10.31932/ve.v12i1.1074</w:t>
      </w:r>
    </w:p>
    <w:p w14:paraId="1B15C9B4"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Edwards, B. I. (2021). </w:t>
      </w:r>
      <w:r w:rsidRPr="005D2D97">
        <w:rPr>
          <w:rFonts w:cs="Times New Roman"/>
          <w:i/>
          <w:iCs/>
          <w:noProof/>
          <w:sz w:val="20"/>
          <w:szCs w:val="24"/>
        </w:rPr>
        <w:t>Emerging Trends in Education: Envisioning Future Learning Spaces and Classroom Interaction</w:t>
      </w:r>
      <w:r w:rsidRPr="005D2D97">
        <w:rPr>
          <w:rFonts w:cs="Times New Roman"/>
          <w:noProof/>
          <w:sz w:val="20"/>
          <w:szCs w:val="24"/>
        </w:rPr>
        <w:t xml:space="preserve"> (pp. 7–18). </w:t>
      </w:r>
      <w:r w:rsidRPr="005D2D97">
        <w:rPr>
          <w:rFonts w:cs="Times New Roman"/>
          <w:noProof/>
          <w:sz w:val="20"/>
          <w:szCs w:val="24"/>
        </w:rPr>
        <w:lastRenderedPageBreak/>
        <w:t>https://doi.org/10.1007/978-981-16-3521-2_2</w:t>
      </w:r>
    </w:p>
    <w:p w14:paraId="2DE7BE02"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Firman, &amp; Mirnawati. (2023). </w:t>
      </w:r>
      <w:r w:rsidRPr="005D2D97">
        <w:rPr>
          <w:rFonts w:cs="Times New Roman"/>
          <w:i/>
          <w:iCs/>
          <w:noProof/>
          <w:sz w:val="20"/>
          <w:szCs w:val="24"/>
        </w:rPr>
        <w:t>How to develop scientific writing techniques teaching materials with the development of the Borg &amp;amp; Gall model</w:t>
      </w:r>
      <w:r w:rsidRPr="005D2D97">
        <w:rPr>
          <w:rFonts w:cs="Times New Roman"/>
          <w:noProof/>
          <w:sz w:val="20"/>
          <w:szCs w:val="24"/>
        </w:rPr>
        <w:t>. 090029. https://doi.org/10.1063/5.0148011</w:t>
      </w:r>
    </w:p>
    <w:p w14:paraId="2E710E5F"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Huda, M., &amp; Mustagfirin, M. (2019). Virtual Tour Sebagai Media Informasi Kampus Universitas Wahid Hasyim Semarang. </w:t>
      </w:r>
      <w:r w:rsidRPr="005D2D97">
        <w:rPr>
          <w:rFonts w:cs="Times New Roman"/>
          <w:i/>
          <w:iCs/>
          <w:noProof/>
          <w:sz w:val="20"/>
          <w:szCs w:val="24"/>
        </w:rPr>
        <w:t>Jurnal Informatika Dan Rekayasa Perangkat Lunak</w:t>
      </w:r>
      <w:r w:rsidRPr="005D2D97">
        <w:rPr>
          <w:rFonts w:cs="Times New Roman"/>
          <w:noProof/>
          <w:sz w:val="20"/>
          <w:szCs w:val="24"/>
        </w:rPr>
        <w:t xml:space="preserve">, </w:t>
      </w:r>
      <w:r w:rsidRPr="005D2D97">
        <w:rPr>
          <w:rFonts w:cs="Times New Roman"/>
          <w:i/>
          <w:iCs/>
          <w:noProof/>
          <w:sz w:val="20"/>
          <w:szCs w:val="24"/>
        </w:rPr>
        <w:t>1</w:t>
      </w:r>
      <w:r w:rsidRPr="005D2D97">
        <w:rPr>
          <w:rFonts w:cs="Times New Roman"/>
          <w:noProof/>
          <w:sz w:val="20"/>
          <w:szCs w:val="24"/>
        </w:rPr>
        <w:t>(2), 79–81. https://doi.org/10.36499/jinrpl.v1i2.2950</w:t>
      </w:r>
    </w:p>
    <w:p w14:paraId="42411C77"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Ikwan, A., Mauluddin, M. S., &amp; Mustagfirin. (2017). Aplikasi Game Edukasi Matematika Fish Math Berbasis Android. </w:t>
      </w:r>
      <w:r w:rsidRPr="005D2D97">
        <w:rPr>
          <w:rFonts w:cs="Times New Roman"/>
          <w:i/>
          <w:iCs/>
          <w:noProof/>
          <w:sz w:val="20"/>
          <w:szCs w:val="24"/>
        </w:rPr>
        <w:t>Snst</w:t>
      </w:r>
      <w:r w:rsidRPr="005D2D97">
        <w:rPr>
          <w:rFonts w:cs="Times New Roman"/>
          <w:noProof/>
          <w:sz w:val="20"/>
          <w:szCs w:val="24"/>
        </w:rPr>
        <w:t>, 65–69.</w:t>
      </w:r>
    </w:p>
    <w:p w14:paraId="56EDE5C8"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Instruments, T. (2023). </w:t>
      </w:r>
      <w:r w:rsidRPr="005D2D97">
        <w:rPr>
          <w:rFonts w:cs="Times New Roman"/>
          <w:i/>
          <w:iCs/>
          <w:noProof/>
          <w:sz w:val="20"/>
          <w:szCs w:val="24"/>
        </w:rPr>
        <w:t>( JTLM ) Teacher Competence in The Preparation of Test and Non-</w:t>
      </w:r>
      <w:r w:rsidRPr="005D2D97">
        <w:rPr>
          <w:rFonts w:cs="Times New Roman"/>
          <w:noProof/>
          <w:sz w:val="20"/>
          <w:szCs w:val="24"/>
        </w:rPr>
        <w:t>. https://doi.org/https://doi.org/10.22219/jtlm.v1i1.27695</w:t>
      </w:r>
    </w:p>
    <w:p w14:paraId="7F9520B7"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Ismail Yusuf Panessai, Lakulu, M. M., Abdul Rahman, M. H., Mohd Noor, N. A. Z., Mat Salleh, N. S., &amp; Aldrin Aran Bilong. (2019). PSAP: Improving Accuracy of Students’ Final Grade Prediction using ID3 and C4.5. </w:t>
      </w:r>
      <w:r w:rsidRPr="005D2D97">
        <w:rPr>
          <w:rFonts w:cs="Times New Roman"/>
          <w:i/>
          <w:iCs/>
          <w:noProof/>
          <w:sz w:val="20"/>
          <w:szCs w:val="24"/>
        </w:rPr>
        <w:t>International Journal of Artificial Intelligence</w:t>
      </w:r>
      <w:r w:rsidRPr="005D2D97">
        <w:rPr>
          <w:rFonts w:cs="Times New Roman"/>
          <w:noProof/>
          <w:sz w:val="20"/>
          <w:szCs w:val="24"/>
        </w:rPr>
        <w:t xml:space="preserve">, </w:t>
      </w:r>
      <w:r w:rsidRPr="005D2D97">
        <w:rPr>
          <w:rFonts w:cs="Times New Roman"/>
          <w:i/>
          <w:iCs/>
          <w:noProof/>
          <w:sz w:val="20"/>
          <w:szCs w:val="24"/>
        </w:rPr>
        <w:t>6</w:t>
      </w:r>
      <w:r w:rsidRPr="005D2D97">
        <w:rPr>
          <w:rFonts w:cs="Times New Roman"/>
          <w:noProof/>
          <w:sz w:val="20"/>
          <w:szCs w:val="24"/>
        </w:rPr>
        <w:t>(2), 125–133. https://doi.org/10.36079/lamintang.ijai-0602.42</w:t>
      </w:r>
    </w:p>
    <w:p w14:paraId="1714FE60"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Isroani, M. H. M. F., &amp; Nguyen, V. C. (2023). Lembaran Ilmu Kependidikan Development of Prophetic Education Curriculum Management in Student Boarding Schools. </w:t>
      </w:r>
      <w:r w:rsidRPr="005D2D97">
        <w:rPr>
          <w:rFonts w:cs="Times New Roman"/>
          <w:i/>
          <w:iCs/>
          <w:noProof/>
          <w:sz w:val="20"/>
          <w:szCs w:val="24"/>
        </w:rPr>
        <w:t>Lembaran Ilmu Kependidikan</w:t>
      </w:r>
      <w:r w:rsidRPr="005D2D97">
        <w:rPr>
          <w:rFonts w:cs="Times New Roman"/>
          <w:noProof/>
          <w:sz w:val="20"/>
          <w:szCs w:val="24"/>
        </w:rPr>
        <w:t xml:space="preserve">, </w:t>
      </w:r>
      <w:r w:rsidRPr="005D2D97">
        <w:rPr>
          <w:rFonts w:cs="Times New Roman"/>
          <w:i/>
          <w:iCs/>
          <w:noProof/>
          <w:sz w:val="20"/>
          <w:szCs w:val="24"/>
        </w:rPr>
        <w:t>52</w:t>
      </w:r>
      <w:r w:rsidRPr="005D2D97">
        <w:rPr>
          <w:rFonts w:cs="Times New Roman"/>
          <w:noProof/>
          <w:sz w:val="20"/>
          <w:szCs w:val="24"/>
        </w:rPr>
        <w:t>(1), 1–8. https://doi.org/https://doi.org/10.15294/lik.v52i1.43822</w:t>
      </w:r>
    </w:p>
    <w:p w14:paraId="1B6F5FF3"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Jeni Nadik, Moch. Subchan Mauluddin, M. (2017). </w:t>
      </w:r>
      <w:r w:rsidRPr="005D2D97">
        <w:rPr>
          <w:rFonts w:cs="Times New Roman"/>
          <w:i/>
          <w:iCs/>
          <w:noProof/>
          <w:sz w:val="20"/>
          <w:szCs w:val="24"/>
        </w:rPr>
        <w:t>Aplikasi Rebana Digital Berbasis Android</w:t>
      </w:r>
      <w:r w:rsidRPr="005D2D97">
        <w:rPr>
          <w:rFonts w:cs="Times New Roman"/>
          <w:noProof/>
          <w:sz w:val="20"/>
          <w:szCs w:val="24"/>
        </w:rPr>
        <w:t>. 104–109. https://doi.org/http://dx.doi.org/10.36499/psnst.v1i1.1886</w:t>
      </w:r>
    </w:p>
    <w:p w14:paraId="1AC0B429"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Kim, Rueckert, D., Kim, D., &amp; Seo, D. (2013). Students ’ Perceptions Erceptions Rception of. </w:t>
      </w:r>
      <w:r w:rsidRPr="005D2D97">
        <w:rPr>
          <w:rFonts w:cs="Times New Roman"/>
          <w:i/>
          <w:iCs/>
          <w:noProof/>
          <w:sz w:val="20"/>
          <w:szCs w:val="24"/>
        </w:rPr>
        <w:t>Language Learning&amp;Technology</w:t>
      </w:r>
      <w:r w:rsidRPr="005D2D97">
        <w:rPr>
          <w:rFonts w:cs="Times New Roman"/>
          <w:noProof/>
          <w:sz w:val="20"/>
          <w:szCs w:val="24"/>
        </w:rPr>
        <w:t xml:space="preserve">, </w:t>
      </w:r>
      <w:r w:rsidRPr="005D2D97">
        <w:rPr>
          <w:rFonts w:cs="Times New Roman"/>
          <w:i/>
          <w:iCs/>
          <w:noProof/>
          <w:sz w:val="20"/>
          <w:szCs w:val="24"/>
        </w:rPr>
        <w:t>17</w:t>
      </w:r>
      <w:r w:rsidRPr="005D2D97">
        <w:rPr>
          <w:rFonts w:cs="Times New Roman"/>
          <w:noProof/>
          <w:sz w:val="20"/>
          <w:szCs w:val="24"/>
        </w:rPr>
        <w:t>(3), 52–73.</w:t>
      </w:r>
    </w:p>
    <w:p w14:paraId="6DCC5C4A"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Lizza, A., Lutfia, M., Fathani, A. H., &amp; Malang, U. I. (2023). </w:t>
      </w:r>
      <w:r w:rsidRPr="005D2D97">
        <w:rPr>
          <w:rFonts w:cs="Times New Roman"/>
          <w:i/>
          <w:iCs/>
          <w:noProof/>
          <w:sz w:val="20"/>
          <w:szCs w:val="24"/>
        </w:rPr>
        <w:t>Lembaran Ilmu Kependidikan Qur ’ ani Paradigm in Professional Development of Mathematics Teacher</w:t>
      </w:r>
      <w:r w:rsidRPr="005D2D97">
        <w:rPr>
          <w:rFonts w:cs="Times New Roman"/>
          <w:noProof/>
          <w:sz w:val="20"/>
          <w:szCs w:val="24"/>
        </w:rPr>
        <w:t xml:space="preserve">. </w:t>
      </w:r>
      <w:r w:rsidRPr="005D2D97">
        <w:rPr>
          <w:rFonts w:cs="Times New Roman"/>
          <w:i/>
          <w:iCs/>
          <w:noProof/>
          <w:sz w:val="20"/>
          <w:szCs w:val="24"/>
        </w:rPr>
        <w:t>52</w:t>
      </w:r>
      <w:r w:rsidRPr="005D2D97">
        <w:rPr>
          <w:rFonts w:cs="Times New Roman"/>
          <w:noProof/>
          <w:sz w:val="20"/>
          <w:szCs w:val="24"/>
        </w:rPr>
        <w:t>(1), 16–21. https://doi.org/https://doi.org/10.15294/lik.v52i1.40951</w:t>
      </w:r>
    </w:p>
    <w:p w14:paraId="53FD6317"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Malik, A., &amp; Gupta, S. (2023). Information Technology Ability Factors on Educator Performance that Have an Impact on the Quality of Learning in Equality Education. </w:t>
      </w:r>
      <w:r w:rsidRPr="005D2D97">
        <w:rPr>
          <w:rFonts w:cs="Times New Roman"/>
          <w:i/>
          <w:iCs/>
          <w:noProof/>
          <w:sz w:val="20"/>
          <w:szCs w:val="24"/>
        </w:rPr>
        <w:t>Lembaran Ilmu Kependidikan</w:t>
      </w:r>
      <w:r w:rsidRPr="005D2D97">
        <w:rPr>
          <w:rFonts w:cs="Times New Roman"/>
          <w:noProof/>
          <w:sz w:val="20"/>
          <w:szCs w:val="24"/>
        </w:rPr>
        <w:t xml:space="preserve">, </w:t>
      </w:r>
      <w:r w:rsidRPr="005D2D97">
        <w:rPr>
          <w:rFonts w:cs="Times New Roman"/>
          <w:i/>
          <w:iCs/>
          <w:noProof/>
          <w:sz w:val="20"/>
          <w:szCs w:val="24"/>
        </w:rPr>
        <w:t>52</w:t>
      </w:r>
      <w:r w:rsidRPr="005D2D97">
        <w:rPr>
          <w:rFonts w:cs="Times New Roman"/>
          <w:noProof/>
          <w:sz w:val="20"/>
          <w:szCs w:val="24"/>
        </w:rPr>
        <w:t>(1), 9–15. https://doi.org/https://doi.org/10.15294/lik.v52i1.41459</w:t>
      </w:r>
    </w:p>
    <w:p w14:paraId="3ACF4BE3"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Mínguez, R., &amp; Jesus, F. Del. (2015). Revisited mixed extreme wave climate model for reanalysis data bases. In </w:t>
      </w:r>
      <w:r w:rsidRPr="005D2D97">
        <w:rPr>
          <w:rFonts w:cs="Times New Roman"/>
          <w:i/>
          <w:iCs/>
          <w:noProof/>
          <w:sz w:val="20"/>
          <w:szCs w:val="24"/>
        </w:rPr>
        <w:t>Stochastic Environmental Research and Risk Assessment</w:t>
      </w:r>
      <w:r w:rsidRPr="005D2D97">
        <w:rPr>
          <w:rFonts w:cs="Times New Roman"/>
          <w:noProof/>
          <w:sz w:val="20"/>
          <w:szCs w:val="24"/>
        </w:rPr>
        <w:t xml:space="preserve"> (Vol. 29, Issue 7). https://doi.org/10.1007/s00477-014-0937-9</w:t>
      </w:r>
    </w:p>
    <w:p w14:paraId="3D9F17D6"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lastRenderedPageBreak/>
        <w:t xml:space="preserve">Moro, C., Phelps, C., Redmond, P., &amp; Stromberga, Z. (2021). HoloLens and mobile augmented reality in medical and health science education: A randomised controlled trial. </w:t>
      </w:r>
      <w:r w:rsidRPr="005D2D97">
        <w:rPr>
          <w:rFonts w:cs="Times New Roman"/>
          <w:i/>
          <w:iCs/>
          <w:noProof/>
          <w:sz w:val="20"/>
          <w:szCs w:val="24"/>
        </w:rPr>
        <w:t>British Journal of Educational Technology</w:t>
      </w:r>
      <w:r w:rsidRPr="005D2D97">
        <w:rPr>
          <w:rFonts w:cs="Times New Roman"/>
          <w:noProof/>
          <w:sz w:val="20"/>
          <w:szCs w:val="24"/>
        </w:rPr>
        <w:t xml:space="preserve">, </w:t>
      </w:r>
      <w:r w:rsidRPr="005D2D97">
        <w:rPr>
          <w:rFonts w:cs="Times New Roman"/>
          <w:i/>
          <w:iCs/>
          <w:noProof/>
          <w:sz w:val="20"/>
          <w:szCs w:val="24"/>
        </w:rPr>
        <w:t>52</w:t>
      </w:r>
      <w:r w:rsidRPr="005D2D97">
        <w:rPr>
          <w:rFonts w:cs="Times New Roman"/>
          <w:noProof/>
          <w:sz w:val="20"/>
          <w:szCs w:val="24"/>
        </w:rPr>
        <w:t>(2), 680–694. https://doi.org/10.1111/bjet.13049</w:t>
      </w:r>
    </w:p>
    <w:p w14:paraId="1B623473"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Morris, R., Perry, T., &amp; Wardle, L. (2021). Formative assessment and feedback for learning in higher education: A systematic review. </w:t>
      </w:r>
      <w:r w:rsidRPr="005D2D97">
        <w:rPr>
          <w:rFonts w:cs="Times New Roman"/>
          <w:i/>
          <w:iCs/>
          <w:noProof/>
          <w:sz w:val="20"/>
          <w:szCs w:val="24"/>
        </w:rPr>
        <w:t>Review of Education</w:t>
      </w:r>
      <w:r w:rsidRPr="005D2D97">
        <w:rPr>
          <w:rFonts w:cs="Times New Roman"/>
          <w:noProof/>
          <w:sz w:val="20"/>
          <w:szCs w:val="24"/>
        </w:rPr>
        <w:t xml:space="preserve">, </w:t>
      </w:r>
      <w:r w:rsidRPr="005D2D97">
        <w:rPr>
          <w:rFonts w:cs="Times New Roman"/>
          <w:i/>
          <w:iCs/>
          <w:noProof/>
          <w:sz w:val="20"/>
          <w:szCs w:val="24"/>
        </w:rPr>
        <w:t>9</w:t>
      </w:r>
      <w:r w:rsidRPr="005D2D97">
        <w:rPr>
          <w:rFonts w:cs="Times New Roman"/>
          <w:noProof/>
          <w:sz w:val="20"/>
          <w:szCs w:val="24"/>
        </w:rPr>
        <w:t>(3). https://doi.org/10.1002/rev3.3292</w:t>
      </w:r>
    </w:p>
    <w:p w14:paraId="2182F31A"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Nandipha, N., Rankhumise, M., &amp; Sedumedi, T. (2023). Views and Experiences of Pre-Service Science Teachers on the Use of Technology in Teaching and Learning of Electric Concepts. </w:t>
      </w:r>
      <w:r w:rsidRPr="005D2D97">
        <w:rPr>
          <w:rFonts w:cs="Times New Roman"/>
          <w:i/>
          <w:iCs/>
          <w:noProof/>
          <w:sz w:val="20"/>
          <w:szCs w:val="24"/>
        </w:rPr>
        <w:t>Unnes Science Education Journal</w:t>
      </w:r>
      <w:r w:rsidRPr="005D2D97">
        <w:rPr>
          <w:rFonts w:cs="Times New Roman"/>
          <w:noProof/>
          <w:sz w:val="20"/>
          <w:szCs w:val="24"/>
        </w:rPr>
        <w:t xml:space="preserve">, </w:t>
      </w:r>
      <w:r w:rsidRPr="005D2D97">
        <w:rPr>
          <w:rFonts w:cs="Times New Roman"/>
          <w:i/>
          <w:iCs/>
          <w:noProof/>
          <w:sz w:val="20"/>
          <w:szCs w:val="24"/>
        </w:rPr>
        <w:t>12</w:t>
      </w:r>
      <w:r w:rsidRPr="005D2D97">
        <w:rPr>
          <w:rFonts w:cs="Times New Roman"/>
          <w:noProof/>
          <w:sz w:val="20"/>
          <w:szCs w:val="24"/>
        </w:rPr>
        <w:t>(1), 39–48. https://doi.org/10.15294/usej.v12i1.67139</w:t>
      </w:r>
    </w:p>
    <w:p w14:paraId="37B4DF53"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Niwa, Y., Shiramatsu, S., Ozono, T., &amp; Shintani, T. (2014). A Collaborative Web Presentation Support System Using an Existing Presentation Software. </w:t>
      </w:r>
      <w:r w:rsidRPr="005D2D97">
        <w:rPr>
          <w:rFonts w:cs="Times New Roman"/>
          <w:i/>
          <w:iCs/>
          <w:noProof/>
          <w:sz w:val="20"/>
          <w:szCs w:val="24"/>
        </w:rPr>
        <w:t>2014 IIAI 3rd International Conference on Advanced Applied Informatics</w:t>
      </w:r>
      <w:r w:rsidRPr="005D2D97">
        <w:rPr>
          <w:rFonts w:cs="Times New Roman"/>
          <w:noProof/>
          <w:sz w:val="20"/>
          <w:szCs w:val="24"/>
        </w:rPr>
        <w:t>, 80–85. https://doi.org/10.1109/IIAI-AAI.2014.27</w:t>
      </w:r>
    </w:p>
    <w:p w14:paraId="30E83371"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Putri, R. S., &amp; Wardoyo, C. (2018). The Development of Financial Accounting Learning Tools with Gall and Borg Model. </w:t>
      </w:r>
      <w:r w:rsidRPr="005D2D97">
        <w:rPr>
          <w:rFonts w:cs="Times New Roman"/>
          <w:i/>
          <w:iCs/>
          <w:noProof/>
          <w:sz w:val="20"/>
          <w:szCs w:val="24"/>
        </w:rPr>
        <w:t>Dinamika Pendidikan</w:t>
      </w:r>
      <w:r w:rsidRPr="005D2D97">
        <w:rPr>
          <w:rFonts w:cs="Times New Roman"/>
          <w:noProof/>
          <w:sz w:val="20"/>
          <w:szCs w:val="24"/>
        </w:rPr>
        <w:t xml:space="preserve">, </w:t>
      </w:r>
      <w:r w:rsidRPr="005D2D97">
        <w:rPr>
          <w:rFonts w:cs="Times New Roman"/>
          <w:i/>
          <w:iCs/>
          <w:noProof/>
          <w:sz w:val="20"/>
          <w:szCs w:val="24"/>
        </w:rPr>
        <w:t>12</w:t>
      </w:r>
      <w:r w:rsidRPr="005D2D97">
        <w:rPr>
          <w:rFonts w:cs="Times New Roman"/>
          <w:noProof/>
          <w:sz w:val="20"/>
          <w:szCs w:val="24"/>
        </w:rPr>
        <w:t>(2), 86–97. https://doi.org/10.15294/dp.v12i2.13559</w:t>
      </w:r>
    </w:p>
    <w:p w14:paraId="570A4A0B"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Richey, R. C., &amp; Klein, J. D. (2014). </w:t>
      </w:r>
      <w:r w:rsidRPr="005D2D97">
        <w:rPr>
          <w:rFonts w:cs="Times New Roman"/>
          <w:i/>
          <w:iCs/>
          <w:noProof/>
          <w:sz w:val="20"/>
          <w:szCs w:val="24"/>
        </w:rPr>
        <w:t>Design and Development Research</w:t>
      </w:r>
      <w:r w:rsidRPr="005D2D97">
        <w:rPr>
          <w:rFonts w:cs="Times New Roman"/>
          <w:noProof/>
          <w:sz w:val="20"/>
          <w:szCs w:val="24"/>
        </w:rPr>
        <w:t>. Routledge. https://doi.org/10.4324/9780203826034</w:t>
      </w:r>
    </w:p>
    <w:p w14:paraId="40C77996"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Rosenthal, M. (2016). Qualitative research methods: Why, when, and how to conduct interviews and focus groups in pharmacy research. </w:t>
      </w:r>
      <w:r w:rsidRPr="005D2D97">
        <w:rPr>
          <w:rFonts w:cs="Times New Roman"/>
          <w:i/>
          <w:iCs/>
          <w:noProof/>
          <w:sz w:val="20"/>
          <w:szCs w:val="24"/>
        </w:rPr>
        <w:t>Currents in Pharmacy Teaching and Learning</w:t>
      </w:r>
      <w:r w:rsidRPr="005D2D97">
        <w:rPr>
          <w:rFonts w:cs="Times New Roman"/>
          <w:noProof/>
          <w:sz w:val="20"/>
          <w:szCs w:val="24"/>
        </w:rPr>
        <w:t xml:space="preserve">, </w:t>
      </w:r>
      <w:r w:rsidRPr="005D2D97">
        <w:rPr>
          <w:rFonts w:cs="Times New Roman"/>
          <w:i/>
          <w:iCs/>
          <w:noProof/>
          <w:sz w:val="20"/>
          <w:szCs w:val="24"/>
        </w:rPr>
        <w:t>8</w:t>
      </w:r>
      <w:r w:rsidRPr="005D2D97">
        <w:rPr>
          <w:rFonts w:cs="Times New Roman"/>
          <w:noProof/>
          <w:sz w:val="20"/>
          <w:szCs w:val="24"/>
        </w:rPr>
        <w:t>(4), 509–516. https://doi.org/10.1016/j.cptl.2016.03.021</w:t>
      </w:r>
    </w:p>
    <w:p w14:paraId="3F90576B"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Savoy, A., Proctor, R. W., &amp; Salvendy, G. (2009). Information retention from PowerPoint</w:t>
      </w:r>
      <w:r w:rsidRPr="005D2D97">
        <w:rPr>
          <w:rFonts w:cs="Times New Roman"/>
          <w:noProof/>
          <w:sz w:val="20"/>
          <w:szCs w:val="24"/>
          <w:vertAlign w:val="superscript"/>
        </w:rPr>
        <w:t>TM</w:t>
      </w:r>
      <w:r w:rsidRPr="005D2D97">
        <w:rPr>
          <w:rFonts w:cs="Times New Roman"/>
          <w:noProof/>
          <w:sz w:val="20"/>
          <w:szCs w:val="24"/>
        </w:rPr>
        <w:t xml:space="preserve"> and traditional lectures. </w:t>
      </w:r>
      <w:r w:rsidRPr="005D2D97">
        <w:rPr>
          <w:rFonts w:cs="Times New Roman"/>
          <w:i/>
          <w:iCs/>
          <w:noProof/>
          <w:sz w:val="20"/>
          <w:szCs w:val="24"/>
        </w:rPr>
        <w:t>Computers &amp; Education</w:t>
      </w:r>
      <w:r w:rsidRPr="005D2D97">
        <w:rPr>
          <w:rFonts w:cs="Times New Roman"/>
          <w:noProof/>
          <w:sz w:val="20"/>
          <w:szCs w:val="24"/>
        </w:rPr>
        <w:t xml:space="preserve">, </w:t>
      </w:r>
      <w:r w:rsidRPr="005D2D97">
        <w:rPr>
          <w:rFonts w:cs="Times New Roman"/>
          <w:i/>
          <w:iCs/>
          <w:noProof/>
          <w:sz w:val="20"/>
          <w:szCs w:val="24"/>
        </w:rPr>
        <w:t>52</w:t>
      </w:r>
      <w:r w:rsidRPr="005D2D97">
        <w:rPr>
          <w:rFonts w:cs="Times New Roman"/>
          <w:noProof/>
          <w:sz w:val="20"/>
          <w:szCs w:val="24"/>
        </w:rPr>
        <w:t>(4), 858–867. https://doi.org/10.1016/j.compedu.2008.12.005</w:t>
      </w:r>
    </w:p>
    <w:p w14:paraId="1F767B3D"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Schuck, S., Aubusson, P., Burden, K., &amp; Brindley, S. (2018). Current Trends in Technology-Enhanced Learning. In </w:t>
      </w:r>
      <w:r w:rsidRPr="005D2D97">
        <w:rPr>
          <w:rFonts w:cs="Times New Roman"/>
          <w:i/>
          <w:iCs/>
          <w:noProof/>
          <w:sz w:val="20"/>
          <w:szCs w:val="24"/>
        </w:rPr>
        <w:t>Uncertainty in Teacher Education Futures</w:t>
      </w:r>
      <w:r w:rsidRPr="005D2D97">
        <w:rPr>
          <w:rFonts w:cs="Times New Roman"/>
          <w:noProof/>
          <w:sz w:val="20"/>
          <w:szCs w:val="24"/>
        </w:rPr>
        <w:t xml:space="preserve"> (pp. 43–61). Springer Singapore. https://doi.org/10.1007/978-981-10-8246-7_4</w:t>
      </w:r>
    </w:p>
    <w:p w14:paraId="1F62A50F" w14:textId="77777777" w:rsidR="005D2D97" w:rsidRPr="005D2D97" w:rsidRDefault="005D2D97" w:rsidP="005D2D97">
      <w:pPr>
        <w:adjustRightInd w:val="0"/>
        <w:ind w:left="480" w:hanging="480"/>
        <w:rPr>
          <w:rFonts w:cs="Times New Roman"/>
          <w:noProof/>
          <w:sz w:val="20"/>
          <w:szCs w:val="24"/>
        </w:rPr>
      </w:pPr>
      <w:r w:rsidRPr="005D2D97">
        <w:rPr>
          <w:rFonts w:cs="Times New Roman"/>
          <w:noProof/>
          <w:sz w:val="20"/>
          <w:szCs w:val="24"/>
        </w:rPr>
        <w:t xml:space="preserve">Suhartono, D. (2015). </w:t>
      </w:r>
      <w:r w:rsidRPr="005D2D97">
        <w:rPr>
          <w:rFonts w:cs="Times New Roman"/>
          <w:i/>
          <w:iCs/>
          <w:noProof/>
          <w:sz w:val="20"/>
          <w:szCs w:val="24"/>
        </w:rPr>
        <w:t>Company Profile Distro Devgru Clothing Berbasis</w:t>
      </w:r>
      <w:r w:rsidRPr="005D2D97">
        <w:rPr>
          <w:rFonts w:cs="Times New Roman"/>
          <w:noProof/>
          <w:sz w:val="20"/>
          <w:szCs w:val="24"/>
        </w:rPr>
        <w:t>. 1–13.</w:t>
      </w:r>
    </w:p>
    <w:p w14:paraId="2662F862" w14:textId="77777777" w:rsidR="005D2D97" w:rsidRPr="005D2D97" w:rsidRDefault="005D2D97" w:rsidP="005D2D97">
      <w:pPr>
        <w:adjustRightInd w:val="0"/>
        <w:ind w:left="480" w:hanging="480"/>
        <w:rPr>
          <w:noProof/>
          <w:sz w:val="20"/>
        </w:rPr>
      </w:pPr>
      <w:r w:rsidRPr="005D2D97">
        <w:rPr>
          <w:rFonts w:cs="Times New Roman"/>
          <w:noProof/>
          <w:sz w:val="20"/>
          <w:szCs w:val="24"/>
        </w:rPr>
        <w:t xml:space="preserve">Viswesvaran, C., &amp; Ones, D. S. (2017). Non-Test Methods and Techniques Used in Employee Selection. In </w:t>
      </w:r>
      <w:r w:rsidRPr="005D2D97">
        <w:rPr>
          <w:rFonts w:cs="Times New Roman"/>
          <w:i/>
          <w:iCs/>
          <w:noProof/>
          <w:sz w:val="20"/>
          <w:szCs w:val="24"/>
        </w:rPr>
        <w:t>The SAGE Handbook of Industrial, Work and Organizational Psychology: Personnel Psychology and Employee Performance</w:t>
      </w:r>
      <w:r w:rsidRPr="005D2D97">
        <w:rPr>
          <w:rFonts w:cs="Times New Roman"/>
          <w:noProof/>
          <w:sz w:val="20"/>
          <w:szCs w:val="24"/>
        </w:rPr>
        <w:t xml:space="preserve"> (Issue May). https://doi.org/10.4135/9781473914940.n16</w:t>
      </w:r>
    </w:p>
    <w:p w14:paraId="0DF3A033" w14:textId="77777777" w:rsidR="004E1452" w:rsidRPr="00641BED" w:rsidRDefault="004E1452" w:rsidP="004E1452">
      <w:pPr>
        <w:pStyle w:val="BodyText"/>
        <w:ind w:left="567" w:right="227" w:hanging="425"/>
        <w:rPr>
          <w:rFonts w:asciiTheme="majorHAnsi" w:hAnsiTheme="majorHAnsi" w:cs="Times New Roman"/>
          <w:lang w:val="en"/>
        </w:rPr>
      </w:pPr>
      <w:r w:rsidRPr="00641BED">
        <w:rPr>
          <w:rFonts w:asciiTheme="majorHAnsi" w:hAnsiTheme="majorHAnsi" w:cs="Times New Roman"/>
        </w:rPr>
        <w:fldChar w:fldCharType="end"/>
      </w:r>
    </w:p>
    <w:p w14:paraId="4F1E1042" w14:textId="290F92E7" w:rsidR="00E242DA" w:rsidRPr="00641BED" w:rsidRDefault="00E242DA" w:rsidP="004E1452">
      <w:pPr>
        <w:pStyle w:val="BodyText"/>
        <w:ind w:left="142" w:right="227" w:firstLine="425"/>
        <w:rPr>
          <w:rFonts w:asciiTheme="majorHAnsi" w:hAnsiTheme="majorHAnsi"/>
          <w:sz w:val="18"/>
        </w:rPr>
      </w:pPr>
    </w:p>
    <w:sectPr w:rsidR="00E242DA" w:rsidRPr="00641BED" w:rsidSect="005D2D97">
      <w:headerReference w:type="even" r:id="rId11"/>
      <w:headerReference w:type="default" r:id="rId12"/>
      <w:footerReference w:type="even" r:id="rId13"/>
      <w:footerReference w:type="default" r:id="rId14"/>
      <w:type w:val="continuous"/>
      <w:pgSz w:w="11910" w:h="16840"/>
      <w:pgMar w:top="1780" w:right="1298" w:bottom="1038" w:left="1298" w:header="720" w:footer="720" w:gutter="0"/>
      <w:cols w:num="2" w:space="720" w:equalWidth="0">
        <w:col w:w="4579" w:space="55"/>
        <w:col w:w="46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8B312" w14:textId="77777777" w:rsidR="00D1345F" w:rsidRDefault="00D1345F">
      <w:r>
        <w:separator/>
      </w:r>
    </w:p>
  </w:endnote>
  <w:endnote w:type="continuationSeparator" w:id="0">
    <w:p w14:paraId="1A25607F" w14:textId="77777777" w:rsidR="00D1345F" w:rsidRDefault="00D1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D3320" w14:textId="17392875" w:rsidR="00E242DA" w:rsidRDefault="00895DE8">
    <w:pPr>
      <w:pStyle w:val="BodyText"/>
      <w:spacing w:line="14" w:lineRule="auto"/>
      <w:ind w:left="0"/>
      <w:jc w:val="left"/>
      <w:rPr>
        <w:sz w:val="2"/>
      </w:rPr>
    </w:pPr>
    <w:r w:rsidRPr="00895DE8">
      <w:rPr>
        <w:sz w:val="2"/>
      </w:rPr>
      <mc:AlternateContent>
        <mc:Choice Requires="wps">
          <w:drawing>
            <wp:anchor distT="0" distB="0" distL="0" distR="0" simplePos="0" relativeHeight="251663360" behindDoc="1" locked="0" layoutInCell="1" allowOverlap="1" wp14:anchorId="34186C3E" wp14:editId="3C0AC1F3">
              <wp:simplePos x="0" y="0"/>
              <wp:positionH relativeFrom="page">
                <wp:posOffset>954405</wp:posOffset>
              </wp:positionH>
              <wp:positionV relativeFrom="page">
                <wp:posOffset>9992360</wp:posOffset>
              </wp:positionV>
              <wp:extent cx="5617210" cy="27940"/>
              <wp:effectExtent l="0" t="0" r="254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27940"/>
                      </a:xfrm>
                      <a:custGeom>
                        <a:avLst/>
                        <a:gdLst/>
                        <a:ahLst/>
                        <a:cxnLst/>
                        <a:rect l="l" t="t" r="r" b="b"/>
                        <a:pathLst>
                          <a:path w="5617210" h="27940">
                            <a:moveTo>
                              <a:pt x="5617210" y="0"/>
                            </a:moveTo>
                            <a:lnTo>
                              <a:pt x="0" y="0"/>
                            </a:lnTo>
                            <a:lnTo>
                              <a:pt x="0" y="27432"/>
                            </a:lnTo>
                            <a:lnTo>
                              <a:pt x="5617210" y="27432"/>
                            </a:lnTo>
                            <a:lnTo>
                              <a:pt x="5617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D0F783" id="Graphic 7" o:spid="_x0000_s1026" style="position:absolute;margin-left:75.15pt;margin-top:786.8pt;width:442.3pt;height:2.2pt;z-index:-251653120;visibility:visible;mso-wrap-style:square;mso-wrap-distance-left:0;mso-wrap-distance-top:0;mso-wrap-distance-right:0;mso-wrap-distance-bottom:0;mso-position-horizontal:absolute;mso-position-horizontal-relative:page;mso-position-vertical:absolute;mso-position-vertical-relative:page;v-text-anchor:top" coordsize="56172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" path="m5617210,l,,,27432r5617210,l5617210,xe" fillcolor="black" stroked="f">
              <v:path arrowok="t"/>
              <w10:wrap anchorx="page" anchory="page"/>
            </v:shape>
          </w:pict>
        </mc:Fallback>
      </mc:AlternateContent>
    </w:r>
    <w:r w:rsidRPr="00895DE8">
      <w:rPr>
        <w:sz w:val="2"/>
      </w:rPr>
      <mc:AlternateContent>
        <mc:Choice Requires="wps">
          <w:drawing>
            <wp:anchor distT="0" distB="0" distL="0" distR="0" simplePos="0" relativeHeight="251664384" behindDoc="1" locked="0" layoutInCell="1" allowOverlap="1" wp14:anchorId="3F4C971C" wp14:editId="66CF5C09">
              <wp:simplePos x="0" y="0"/>
              <wp:positionH relativeFrom="page">
                <wp:posOffset>960120</wp:posOffset>
              </wp:positionH>
              <wp:positionV relativeFrom="page">
                <wp:posOffset>10022205</wp:posOffset>
              </wp:positionV>
              <wp:extent cx="3641090"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090" cy="182245"/>
                      </a:xfrm>
                      <a:prstGeom prst="rect">
                        <a:avLst/>
                      </a:prstGeom>
                    </wps:spPr>
                    <wps:txbx>
                      <w:txbxContent>
                        <w:p w14:paraId="6581F057" w14:textId="77777777" w:rsidR="00895DE8" w:rsidRDefault="00895DE8" w:rsidP="00895DE8">
                          <w:pPr>
                            <w:spacing w:before="13"/>
                            <w:ind w:left="20"/>
                            <w:rPr>
                              <w:rFonts w:ascii="Arial"/>
                              <w:b/>
                            </w:rPr>
                          </w:pPr>
                          <w:r>
                            <w:rPr>
                              <w:rFonts w:ascii="Arial"/>
                              <w:b/>
                            </w:rPr>
                            <w:t>TEKNIK</w:t>
                          </w:r>
                          <w:r>
                            <w:rPr>
                              <w:rFonts w:ascii="Arial"/>
                              <w:b/>
                              <w:spacing w:val="-12"/>
                            </w:rPr>
                            <w:t xml:space="preserve"> </w:t>
                          </w:r>
                          <w:r>
                            <w:rPr>
                              <w:rFonts w:ascii="Arial"/>
                              <w:b/>
                            </w:rPr>
                            <w:t>INFORMATIKA-UNIVERSITAS</w:t>
                          </w:r>
                          <w:r>
                            <w:rPr>
                              <w:rFonts w:ascii="Arial"/>
                              <w:b/>
                              <w:spacing w:val="-12"/>
                            </w:rPr>
                            <w:t xml:space="preserve"> </w:t>
                          </w:r>
                          <w:r>
                            <w:rPr>
                              <w:rFonts w:ascii="Arial"/>
                              <w:b/>
                            </w:rPr>
                            <w:t>WAHID</w:t>
                          </w:r>
                          <w:r>
                            <w:rPr>
                              <w:rFonts w:ascii="Arial"/>
                              <w:b/>
                              <w:spacing w:val="-11"/>
                            </w:rPr>
                            <w:t xml:space="preserve"> </w:t>
                          </w:r>
                          <w:r>
                            <w:rPr>
                              <w:rFonts w:ascii="Arial"/>
                              <w:b/>
                              <w:spacing w:val="-2"/>
                            </w:rPr>
                            <w:t>HASYIM</w:t>
                          </w:r>
                        </w:p>
                      </w:txbxContent>
                    </wps:txbx>
                    <wps:bodyPr wrap="square" lIns="0" tIns="0" rIns="0" bIns="0" rtlCol="0">
                      <a:noAutofit/>
                    </wps:bodyPr>
                  </wps:wsp>
                </a:graphicData>
              </a:graphic>
            </wp:anchor>
          </w:drawing>
        </mc:Choice>
        <mc:Fallback>
          <w:pict>
            <v:shapetype w14:anchorId="3F4C971C" id="_x0000_t202" coordsize="21600,21600" o:spt="202" path="m,l,21600r21600,l21600,xe">
              <v:stroke joinstyle="miter"/>
              <v:path gradientshapeok="t" o:connecttype="rect"/>
            </v:shapetype>
            <v:shape id="Textbox 8" o:spid="_x0000_s1028" type="#_x0000_t202" style="position:absolute;margin-left:75.6pt;margin-top:789.15pt;width:286.7pt;height:14.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" filled="f" stroked="f">
              <v:path arrowok="t"/>
              <v:textbox inset="0,0,0,0">
                <w:txbxContent>
                  <w:p w14:paraId="6581F057" w14:textId="77777777" w:rsidR="00895DE8" w:rsidRDefault="00895DE8" w:rsidP="00895DE8">
                    <w:pPr>
                      <w:spacing w:before="13"/>
                      <w:ind w:left="20"/>
                      <w:rPr>
                        <w:rFonts w:ascii="Arial"/>
                        <w:b/>
                      </w:rPr>
                    </w:pPr>
                    <w:r>
                      <w:rPr>
                        <w:rFonts w:ascii="Arial"/>
                        <w:b/>
                      </w:rPr>
                      <w:t>TEKNIK</w:t>
                    </w:r>
                    <w:r>
                      <w:rPr>
                        <w:rFonts w:ascii="Arial"/>
                        <w:b/>
                        <w:spacing w:val="-12"/>
                      </w:rPr>
                      <w:t xml:space="preserve"> </w:t>
                    </w:r>
                    <w:r>
                      <w:rPr>
                        <w:rFonts w:ascii="Arial"/>
                        <w:b/>
                      </w:rPr>
                      <w:t>INFORMATIKA-UNIVERSITAS</w:t>
                    </w:r>
                    <w:r>
                      <w:rPr>
                        <w:rFonts w:ascii="Arial"/>
                        <w:b/>
                        <w:spacing w:val="-12"/>
                      </w:rPr>
                      <w:t xml:space="preserve"> </w:t>
                    </w:r>
                    <w:r>
                      <w:rPr>
                        <w:rFonts w:ascii="Arial"/>
                        <w:b/>
                      </w:rPr>
                      <w:t>WAHID</w:t>
                    </w:r>
                    <w:r>
                      <w:rPr>
                        <w:rFonts w:ascii="Arial"/>
                        <w:b/>
                        <w:spacing w:val="-11"/>
                      </w:rPr>
                      <w:t xml:space="preserve"> </w:t>
                    </w:r>
                    <w:r>
                      <w:rPr>
                        <w:rFonts w:ascii="Arial"/>
                        <w:b/>
                        <w:spacing w:val="-2"/>
                      </w:rPr>
                      <w:t>HASYIM</w:t>
                    </w:r>
                  </w:p>
                </w:txbxContent>
              </v:textbox>
              <w10:wrap anchorx="page" anchory="page"/>
            </v:shape>
          </w:pict>
        </mc:Fallback>
      </mc:AlternateContent>
    </w:r>
    <w:r w:rsidRPr="00895DE8">
      <w:rPr>
        <w:sz w:val="2"/>
      </w:rPr>
      <mc:AlternateContent>
        <mc:Choice Requires="wps">
          <w:drawing>
            <wp:anchor distT="0" distB="0" distL="0" distR="0" simplePos="0" relativeHeight="251665408" behindDoc="1" locked="0" layoutInCell="1" allowOverlap="1" wp14:anchorId="61E8D5A3" wp14:editId="6787FBAF">
              <wp:simplePos x="0" y="0"/>
              <wp:positionH relativeFrom="page">
                <wp:posOffset>6361283</wp:posOffset>
              </wp:positionH>
              <wp:positionV relativeFrom="page">
                <wp:posOffset>10022205</wp:posOffset>
              </wp:positionV>
              <wp:extent cx="2444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44EE16F7" w14:textId="77777777" w:rsidR="00895DE8" w:rsidRDefault="00895DE8" w:rsidP="00895DE8">
                          <w:pPr>
                            <w:pStyle w:val="ListParagraph"/>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63</w:t>
                          </w:r>
                          <w:r>
                            <w:rPr>
                              <w:rFonts w:ascii="Arial MT"/>
                              <w:spacing w:val="-5"/>
                            </w:rPr>
                            <w:fldChar w:fldCharType="end"/>
                          </w:r>
                        </w:p>
                      </w:txbxContent>
                    </wps:txbx>
                    <wps:bodyPr wrap="square" lIns="0" tIns="0" rIns="0" bIns="0" rtlCol="0">
                      <a:noAutofit/>
                    </wps:bodyPr>
                  </wps:wsp>
                </a:graphicData>
              </a:graphic>
            </wp:anchor>
          </w:drawing>
        </mc:Choice>
        <mc:Fallback>
          <w:pict>
            <v:shape w14:anchorId="61E8D5A3" id="Textbox 9" o:spid="_x0000_s1029" type="#_x0000_t202" style="position:absolute;margin-left:500.9pt;margin-top:789.15pt;width:19.25pt;height:14.3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" filled="f" stroked="f">
              <v:path arrowok="t"/>
              <v:textbox inset="0,0,0,0">
                <w:txbxContent>
                  <w:p w14:paraId="44EE16F7" w14:textId="77777777" w:rsidR="00895DE8" w:rsidRDefault="00895DE8" w:rsidP="00895DE8">
                    <w:pPr>
                      <w:pStyle w:val="ListParagraph"/>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63</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10695"/>
      <w:docPartObj>
        <w:docPartGallery w:val="Page Numbers (Bottom of Page)"/>
        <w:docPartUnique/>
      </w:docPartObj>
    </w:sdtPr>
    <w:sdtEndPr>
      <w:rPr>
        <w:noProof/>
      </w:rPr>
    </w:sdtEndPr>
    <w:sdtContent>
      <w:p w14:paraId="4A55F5C5" w14:textId="65352235" w:rsidR="003066DB" w:rsidRDefault="003066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9A737" w14:textId="7922E271" w:rsidR="00E242DA" w:rsidRDefault="00E242DA">
    <w:pPr>
      <w:pStyle w:val="BodyText"/>
      <w:spacing w:line="14" w:lineRule="auto"/>
      <w:ind w:left="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830D2" w14:textId="78804267" w:rsidR="00E242DA" w:rsidRDefault="00E242DA">
    <w:pPr>
      <w:pStyle w:val="BodyText"/>
      <w:spacing w:line="14" w:lineRule="auto"/>
      <w:ind w:lef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1F7F2" w14:textId="77777777" w:rsidR="00D1345F" w:rsidRDefault="00D1345F">
      <w:r>
        <w:separator/>
      </w:r>
    </w:p>
  </w:footnote>
  <w:footnote w:type="continuationSeparator" w:id="0">
    <w:p w14:paraId="5AAB86C9" w14:textId="77777777" w:rsidR="00D1345F" w:rsidRDefault="00D13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276A" w14:textId="02B2BB08" w:rsidR="005D2D97" w:rsidRPr="005D2D97" w:rsidRDefault="005D2D97" w:rsidP="005D2D97">
    <w:pPr>
      <w:pStyle w:val="Header"/>
    </w:pPr>
    <w:r w:rsidRPr="005D2D97">
      <mc:AlternateContent>
        <mc:Choice Requires="wps">
          <w:drawing>
            <wp:anchor distT="0" distB="0" distL="0" distR="0" simplePos="0" relativeHeight="251659264" behindDoc="1" locked="0" layoutInCell="1" allowOverlap="1" wp14:anchorId="1DBDD396" wp14:editId="166AE562">
              <wp:simplePos x="0" y="0"/>
              <wp:positionH relativeFrom="page">
                <wp:posOffset>1080135</wp:posOffset>
              </wp:positionH>
              <wp:positionV relativeFrom="page">
                <wp:posOffset>875665</wp:posOffset>
              </wp:positionV>
              <wp:extent cx="5617210" cy="279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27940"/>
                      </a:xfrm>
                      <a:custGeom>
                        <a:avLst/>
                        <a:gdLst/>
                        <a:ahLst/>
                        <a:cxnLst/>
                        <a:rect l="l" t="t" r="r" b="b"/>
                        <a:pathLst>
                          <a:path w="5617210" h="27940">
                            <a:moveTo>
                              <a:pt x="5617210" y="0"/>
                            </a:moveTo>
                            <a:lnTo>
                              <a:pt x="0" y="0"/>
                            </a:lnTo>
                            <a:lnTo>
                              <a:pt x="0" y="27431"/>
                            </a:lnTo>
                            <a:lnTo>
                              <a:pt x="5617210" y="27431"/>
                            </a:lnTo>
                            <a:lnTo>
                              <a:pt x="5617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1258" id="Graphic 1" o:spid="_x0000_s1026" style="position:absolute;margin-left:85.05pt;margin-top:68.95pt;width:442.3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56172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" path="m5617210,l,,,27431r5617210,l5617210,xe" fillcolor="black" stroked="f">
              <v:path arrowok="t"/>
              <w10:wrap anchorx="page" anchory="page"/>
            </v:shape>
          </w:pict>
        </mc:Fallback>
      </mc:AlternateContent>
    </w:r>
    <w:r w:rsidRPr="005D2D97">
      <mc:AlternateContent>
        <mc:Choice Requires="wps">
          <w:drawing>
            <wp:anchor distT="0" distB="0" distL="0" distR="0" simplePos="0" relativeHeight="251660288" behindDoc="1" locked="0" layoutInCell="1" allowOverlap="1" wp14:anchorId="1DEE9A73" wp14:editId="65A7E9F1">
              <wp:simplePos x="0" y="0"/>
              <wp:positionH relativeFrom="page">
                <wp:posOffset>1085850</wp:posOffset>
              </wp:positionH>
              <wp:positionV relativeFrom="page">
                <wp:posOffset>457200</wp:posOffset>
              </wp:positionV>
              <wp:extent cx="3432175" cy="420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2175" cy="420370"/>
                      </a:xfrm>
                      <a:prstGeom prst="rect">
                        <a:avLst/>
                      </a:prstGeom>
                    </wps:spPr>
                    <wps:txbx>
                      <w:txbxContent>
                        <w:p w14:paraId="18BABCE6" w14:textId="77777777" w:rsidR="005D2D97" w:rsidRDefault="005D2D97" w:rsidP="005D2D97">
                          <w:pPr>
                            <w:spacing w:before="22"/>
                            <w:ind w:left="20"/>
                            <w:rPr>
                              <w:rFonts w:ascii="Tahoma"/>
                              <w:b/>
                            </w:rPr>
                          </w:pPr>
                          <w:r>
                            <w:rPr>
                              <w:rFonts w:ascii="Tahoma"/>
                              <w:b/>
                              <w:spacing w:val="-6"/>
                            </w:rPr>
                            <w:t>Jurnal</w:t>
                          </w:r>
                          <w:r>
                            <w:rPr>
                              <w:rFonts w:ascii="Tahoma"/>
                              <w:b/>
                              <w:spacing w:val="-5"/>
                            </w:rPr>
                            <w:t xml:space="preserve"> </w:t>
                          </w:r>
                          <w:r>
                            <w:rPr>
                              <w:rFonts w:ascii="Tahoma"/>
                              <w:b/>
                              <w:spacing w:val="-6"/>
                            </w:rPr>
                            <w:t>Informatika</w:t>
                          </w:r>
                          <w:r>
                            <w:rPr>
                              <w:rFonts w:ascii="Tahoma"/>
                              <w:b/>
                              <w:spacing w:val="-5"/>
                            </w:rPr>
                            <w:t xml:space="preserve"> </w:t>
                          </w:r>
                          <w:r>
                            <w:rPr>
                              <w:rFonts w:ascii="Tahoma"/>
                              <w:b/>
                              <w:spacing w:val="-6"/>
                            </w:rPr>
                            <w:t>dan Rekayasa</w:t>
                          </w:r>
                          <w:r>
                            <w:rPr>
                              <w:rFonts w:ascii="Tahoma"/>
                              <w:b/>
                              <w:spacing w:val="-5"/>
                            </w:rPr>
                            <w:t xml:space="preserve"> </w:t>
                          </w:r>
                          <w:r>
                            <w:rPr>
                              <w:rFonts w:ascii="Tahoma"/>
                              <w:b/>
                              <w:spacing w:val="-6"/>
                            </w:rPr>
                            <w:t>Perangkat</w:t>
                          </w:r>
                          <w:r>
                            <w:rPr>
                              <w:rFonts w:ascii="Tahoma"/>
                              <w:b/>
                              <w:spacing w:val="-4"/>
                            </w:rPr>
                            <w:t xml:space="preserve"> </w:t>
                          </w:r>
                          <w:r>
                            <w:rPr>
                              <w:rFonts w:ascii="Tahoma"/>
                              <w:b/>
                              <w:spacing w:val="-6"/>
                            </w:rPr>
                            <w:t>Lunak</w:t>
                          </w:r>
                        </w:p>
                        <w:p w14:paraId="4EED8C29" w14:textId="77777777" w:rsidR="005D2D97" w:rsidRDefault="005D2D97" w:rsidP="005D2D97">
                          <w:pPr>
                            <w:pStyle w:val="ListParagraph"/>
                            <w:spacing w:before="83"/>
                            <w:ind w:left="20"/>
                            <w:rPr>
                              <w:rFonts w:ascii="Verdana"/>
                            </w:rPr>
                          </w:pPr>
                          <w:r>
                            <w:rPr>
                              <w:rFonts w:ascii="Verdana"/>
                              <w:w w:val="90"/>
                            </w:rPr>
                            <w:t>Vol.</w:t>
                          </w:r>
                          <w:r>
                            <w:rPr>
                              <w:rFonts w:ascii="Verdana"/>
                              <w:spacing w:val="-3"/>
                              <w:w w:val="90"/>
                            </w:rPr>
                            <w:t xml:space="preserve"> </w:t>
                          </w:r>
                          <w:r>
                            <w:rPr>
                              <w:rFonts w:ascii="Verdana"/>
                              <w:w w:val="90"/>
                            </w:rPr>
                            <w:t>4,</w:t>
                          </w:r>
                          <w:r>
                            <w:rPr>
                              <w:rFonts w:ascii="Verdana"/>
                              <w:spacing w:val="-5"/>
                              <w:w w:val="90"/>
                            </w:rPr>
                            <w:t xml:space="preserve"> </w:t>
                          </w:r>
                          <w:r>
                            <w:rPr>
                              <w:rFonts w:ascii="Verdana"/>
                              <w:w w:val="90"/>
                            </w:rPr>
                            <w:t>No.</w:t>
                          </w:r>
                          <w:r>
                            <w:rPr>
                              <w:rFonts w:ascii="Verdana"/>
                              <w:spacing w:val="-4"/>
                              <w:w w:val="90"/>
                            </w:rPr>
                            <w:t xml:space="preserve"> </w:t>
                          </w:r>
                          <w:r>
                            <w:rPr>
                              <w:rFonts w:ascii="Verdana"/>
                              <w:w w:val="90"/>
                            </w:rPr>
                            <w:t>1,</w:t>
                          </w:r>
                          <w:r>
                            <w:rPr>
                              <w:rFonts w:ascii="Verdana"/>
                              <w:spacing w:val="-6"/>
                              <w:w w:val="90"/>
                            </w:rPr>
                            <w:t xml:space="preserve"> </w:t>
                          </w:r>
                          <w:r>
                            <w:rPr>
                              <w:rFonts w:ascii="Verdana"/>
                              <w:w w:val="90"/>
                            </w:rPr>
                            <w:t>Maret</w:t>
                          </w:r>
                          <w:r>
                            <w:rPr>
                              <w:rFonts w:ascii="Verdana"/>
                              <w:spacing w:val="-3"/>
                              <w:w w:val="90"/>
                            </w:rPr>
                            <w:t xml:space="preserve"> </w:t>
                          </w:r>
                          <w:r>
                            <w:rPr>
                              <w:rFonts w:ascii="Verdana"/>
                              <w:w w:val="90"/>
                            </w:rPr>
                            <w:t>2022,</w:t>
                          </w:r>
                          <w:r>
                            <w:rPr>
                              <w:rFonts w:ascii="Verdana"/>
                              <w:spacing w:val="-6"/>
                              <w:w w:val="90"/>
                            </w:rPr>
                            <w:t xml:space="preserve"> </w:t>
                          </w:r>
                          <w:r>
                            <w:rPr>
                              <w:rFonts w:ascii="Verdana"/>
                              <w:w w:val="90"/>
                            </w:rPr>
                            <w:t>Hal.</w:t>
                          </w:r>
                          <w:r>
                            <w:rPr>
                              <w:rFonts w:ascii="Verdana"/>
                              <w:spacing w:val="-5"/>
                              <w:w w:val="90"/>
                            </w:rPr>
                            <w:t xml:space="preserve"> </w:t>
                          </w:r>
                          <w:r>
                            <w:rPr>
                              <w:rFonts w:ascii="Verdana"/>
                              <w:w w:val="90"/>
                            </w:rPr>
                            <w:t>61-</w:t>
                          </w:r>
                          <w:r>
                            <w:rPr>
                              <w:rFonts w:ascii="Verdana"/>
                              <w:spacing w:val="-5"/>
                              <w:w w:val="90"/>
                            </w:rPr>
                            <w:t>65</w:t>
                          </w:r>
                        </w:p>
                      </w:txbxContent>
                    </wps:txbx>
                    <wps:bodyPr wrap="square" lIns="0" tIns="0" rIns="0" bIns="0" rtlCol="0">
                      <a:noAutofit/>
                    </wps:bodyPr>
                  </wps:wsp>
                </a:graphicData>
              </a:graphic>
            </wp:anchor>
          </w:drawing>
        </mc:Choice>
        <mc:Fallback>
          <w:pict>
            <v:shapetype w14:anchorId="1DEE9A73" id="_x0000_t202" coordsize="21600,21600" o:spt="202" path="m,l,21600r21600,l21600,xe">
              <v:stroke joinstyle="miter"/>
              <v:path gradientshapeok="t" o:connecttype="rect"/>
            </v:shapetype>
            <v:shape id="Textbox 2" o:spid="_x0000_s1026" type="#_x0000_t202" style="position:absolute;margin-left:85.5pt;margin-top:36pt;width:270.25pt;height:3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" filled="f" stroked="f">
              <v:path arrowok="t"/>
              <v:textbox inset="0,0,0,0">
                <w:txbxContent>
                  <w:p w14:paraId="18BABCE6" w14:textId="77777777" w:rsidR="005D2D97" w:rsidRDefault="005D2D97" w:rsidP="005D2D97">
                    <w:pPr>
                      <w:spacing w:before="22"/>
                      <w:ind w:left="20"/>
                      <w:rPr>
                        <w:rFonts w:ascii="Tahoma"/>
                        <w:b/>
                      </w:rPr>
                    </w:pPr>
                    <w:r>
                      <w:rPr>
                        <w:rFonts w:ascii="Tahoma"/>
                        <w:b/>
                        <w:spacing w:val="-6"/>
                      </w:rPr>
                      <w:t>Jurnal</w:t>
                    </w:r>
                    <w:r>
                      <w:rPr>
                        <w:rFonts w:ascii="Tahoma"/>
                        <w:b/>
                        <w:spacing w:val="-5"/>
                      </w:rPr>
                      <w:t xml:space="preserve"> </w:t>
                    </w:r>
                    <w:r>
                      <w:rPr>
                        <w:rFonts w:ascii="Tahoma"/>
                        <w:b/>
                        <w:spacing w:val="-6"/>
                      </w:rPr>
                      <w:t>Informatika</w:t>
                    </w:r>
                    <w:r>
                      <w:rPr>
                        <w:rFonts w:ascii="Tahoma"/>
                        <w:b/>
                        <w:spacing w:val="-5"/>
                      </w:rPr>
                      <w:t xml:space="preserve"> </w:t>
                    </w:r>
                    <w:r>
                      <w:rPr>
                        <w:rFonts w:ascii="Tahoma"/>
                        <w:b/>
                        <w:spacing w:val="-6"/>
                      </w:rPr>
                      <w:t>dan Rekayasa</w:t>
                    </w:r>
                    <w:r>
                      <w:rPr>
                        <w:rFonts w:ascii="Tahoma"/>
                        <w:b/>
                        <w:spacing w:val="-5"/>
                      </w:rPr>
                      <w:t xml:space="preserve"> </w:t>
                    </w:r>
                    <w:r>
                      <w:rPr>
                        <w:rFonts w:ascii="Tahoma"/>
                        <w:b/>
                        <w:spacing w:val="-6"/>
                      </w:rPr>
                      <w:t>Perangkat</w:t>
                    </w:r>
                    <w:r>
                      <w:rPr>
                        <w:rFonts w:ascii="Tahoma"/>
                        <w:b/>
                        <w:spacing w:val="-4"/>
                      </w:rPr>
                      <w:t xml:space="preserve"> </w:t>
                    </w:r>
                    <w:r>
                      <w:rPr>
                        <w:rFonts w:ascii="Tahoma"/>
                        <w:b/>
                        <w:spacing w:val="-6"/>
                      </w:rPr>
                      <w:t>Lunak</w:t>
                    </w:r>
                  </w:p>
                  <w:p w14:paraId="4EED8C29" w14:textId="77777777" w:rsidR="005D2D97" w:rsidRDefault="005D2D97" w:rsidP="005D2D97">
                    <w:pPr>
                      <w:pStyle w:val="ListParagraph"/>
                      <w:spacing w:before="83"/>
                      <w:ind w:left="20"/>
                      <w:rPr>
                        <w:rFonts w:ascii="Verdana"/>
                      </w:rPr>
                    </w:pPr>
                    <w:r>
                      <w:rPr>
                        <w:rFonts w:ascii="Verdana"/>
                        <w:w w:val="90"/>
                      </w:rPr>
                      <w:t>Vol.</w:t>
                    </w:r>
                    <w:r>
                      <w:rPr>
                        <w:rFonts w:ascii="Verdana"/>
                        <w:spacing w:val="-3"/>
                        <w:w w:val="90"/>
                      </w:rPr>
                      <w:t xml:space="preserve"> </w:t>
                    </w:r>
                    <w:r>
                      <w:rPr>
                        <w:rFonts w:ascii="Verdana"/>
                        <w:w w:val="90"/>
                      </w:rPr>
                      <w:t>4,</w:t>
                    </w:r>
                    <w:r>
                      <w:rPr>
                        <w:rFonts w:ascii="Verdana"/>
                        <w:spacing w:val="-5"/>
                        <w:w w:val="90"/>
                      </w:rPr>
                      <w:t xml:space="preserve"> </w:t>
                    </w:r>
                    <w:r>
                      <w:rPr>
                        <w:rFonts w:ascii="Verdana"/>
                        <w:w w:val="90"/>
                      </w:rPr>
                      <w:t>No.</w:t>
                    </w:r>
                    <w:r>
                      <w:rPr>
                        <w:rFonts w:ascii="Verdana"/>
                        <w:spacing w:val="-4"/>
                        <w:w w:val="90"/>
                      </w:rPr>
                      <w:t xml:space="preserve"> </w:t>
                    </w:r>
                    <w:r>
                      <w:rPr>
                        <w:rFonts w:ascii="Verdana"/>
                        <w:w w:val="90"/>
                      </w:rPr>
                      <w:t>1,</w:t>
                    </w:r>
                    <w:r>
                      <w:rPr>
                        <w:rFonts w:ascii="Verdana"/>
                        <w:spacing w:val="-6"/>
                        <w:w w:val="90"/>
                      </w:rPr>
                      <w:t xml:space="preserve"> </w:t>
                    </w:r>
                    <w:r>
                      <w:rPr>
                        <w:rFonts w:ascii="Verdana"/>
                        <w:w w:val="90"/>
                      </w:rPr>
                      <w:t>Maret</w:t>
                    </w:r>
                    <w:r>
                      <w:rPr>
                        <w:rFonts w:ascii="Verdana"/>
                        <w:spacing w:val="-3"/>
                        <w:w w:val="90"/>
                      </w:rPr>
                      <w:t xml:space="preserve"> </w:t>
                    </w:r>
                    <w:r>
                      <w:rPr>
                        <w:rFonts w:ascii="Verdana"/>
                        <w:w w:val="90"/>
                      </w:rPr>
                      <w:t>2022,</w:t>
                    </w:r>
                    <w:r>
                      <w:rPr>
                        <w:rFonts w:ascii="Verdana"/>
                        <w:spacing w:val="-6"/>
                        <w:w w:val="90"/>
                      </w:rPr>
                      <w:t xml:space="preserve"> </w:t>
                    </w:r>
                    <w:r>
                      <w:rPr>
                        <w:rFonts w:ascii="Verdana"/>
                        <w:w w:val="90"/>
                      </w:rPr>
                      <w:t>Hal.</w:t>
                    </w:r>
                    <w:r>
                      <w:rPr>
                        <w:rFonts w:ascii="Verdana"/>
                        <w:spacing w:val="-5"/>
                        <w:w w:val="90"/>
                      </w:rPr>
                      <w:t xml:space="preserve"> </w:t>
                    </w:r>
                    <w:r>
                      <w:rPr>
                        <w:rFonts w:ascii="Verdana"/>
                        <w:w w:val="90"/>
                      </w:rPr>
                      <w:t>61-</w:t>
                    </w:r>
                    <w:r>
                      <w:rPr>
                        <w:rFonts w:ascii="Verdana"/>
                        <w:spacing w:val="-5"/>
                        <w:w w:val="90"/>
                      </w:rPr>
                      <w:t>65</w:t>
                    </w:r>
                  </w:p>
                </w:txbxContent>
              </v:textbox>
              <w10:wrap anchorx="page" anchory="page"/>
            </v:shape>
          </w:pict>
        </mc:Fallback>
      </mc:AlternateContent>
    </w:r>
    <w:r w:rsidRPr="005D2D97">
      <mc:AlternateContent>
        <mc:Choice Requires="wps">
          <w:drawing>
            <wp:anchor distT="0" distB="0" distL="0" distR="0" simplePos="0" relativeHeight="251661312" behindDoc="1" locked="0" layoutInCell="1" allowOverlap="1" wp14:anchorId="75C6BD48" wp14:editId="64586139">
              <wp:simplePos x="0" y="0"/>
              <wp:positionH relativeFrom="page">
                <wp:posOffset>5551805</wp:posOffset>
              </wp:positionH>
              <wp:positionV relativeFrom="page">
                <wp:posOffset>457200</wp:posOffset>
              </wp:positionV>
              <wp:extent cx="1143000" cy="420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20370"/>
                      </a:xfrm>
                      <a:prstGeom prst="rect">
                        <a:avLst/>
                      </a:prstGeom>
                    </wps:spPr>
                    <wps:txbx>
                      <w:txbxContent>
                        <w:p w14:paraId="0FB08F53" w14:textId="77777777" w:rsidR="005D2D97" w:rsidRDefault="005D2D97" w:rsidP="005D2D97">
                          <w:pPr>
                            <w:pStyle w:val="ListParagraph"/>
                            <w:spacing w:before="21"/>
                            <w:ind w:left="236"/>
                            <w:rPr>
                              <w:rFonts w:ascii="Verdana"/>
                            </w:rPr>
                          </w:pPr>
                          <w:r>
                            <w:rPr>
                              <w:rFonts w:ascii="Verdana"/>
                              <w:w w:val="80"/>
                            </w:rPr>
                            <w:t>ISSN</w:t>
                          </w:r>
                          <w:r>
                            <w:rPr>
                              <w:rFonts w:ascii="Verdana"/>
                              <w:spacing w:val="-6"/>
                            </w:rPr>
                            <w:t xml:space="preserve"> </w:t>
                          </w:r>
                          <w:r>
                            <w:rPr>
                              <w:rFonts w:ascii="Verdana"/>
                              <w:w w:val="80"/>
                            </w:rPr>
                            <w:t>2656-</w:t>
                          </w:r>
                          <w:r>
                            <w:rPr>
                              <w:rFonts w:ascii="Verdana"/>
                              <w:spacing w:val="-4"/>
                              <w:w w:val="80"/>
                            </w:rPr>
                            <w:t>2855</w:t>
                          </w:r>
                        </w:p>
                        <w:p w14:paraId="037727F1" w14:textId="77777777" w:rsidR="005D2D97" w:rsidRDefault="005D2D97" w:rsidP="005D2D97">
                          <w:pPr>
                            <w:pStyle w:val="ListParagraph"/>
                            <w:spacing w:before="83"/>
                            <w:ind w:left="20"/>
                            <w:rPr>
                              <w:rFonts w:ascii="Verdana"/>
                            </w:rPr>
                          </w:pPr>
                          <w:r>
                            <w:rPr>
                              <w:rFonts w:ascii="Verdana"/>
                              <w:w w:val="80"/>
                            </w:rPr>
                            <w:t>e-ISSN</w:t>
                          </w:r>
                          <w:r>
                            <w:rPr>
                              <w:rFonts w:ascii="Verdana"/>
                              <w:spacing w:val="23"/>
                            </w:rPr>
                            <w:t xml:space="preserve"> </w:t>
                          </w:r>
                          <w:r>
                            <w:rPr>
                              <w:rFonts w:ascii="Verdana"/>
                              <w:w w:val="80"/>
                            </w:rPr>
                            <w:t>2685-</w:t>
                          </w:r>
                          <w:r>
                            <w:rPr>
                              <w:rFonts w:ascii="Verdana"/>
                              <w:spacing w:val="-4"/>
                              <w:w w:val="80"/>
                            </w:rPr>
                            <w:t>5518</w:t>
                          </w:r>
                        </w:p>
                      </w:txbxContent>
                    </wps:txbx>
                    <wps:bodyPr wrap="square" lIns="0" tIns="0" rIns="0" bIns="0" rtlCol="0">
                      <a:noAutofit/>
                    </wps:bodyPr>
                  </wps:wsp>
                </a:graphicData>
              </a:graphic>
            </wp:anchor>
          </w:drawing>
        </mc:Choice>
        <mc:Fallback>
          <w:pict>
            <v:shape w14:anchorId="75C6BD48" id="Textbox 3" o:spid="_x0000_s1027" type="#_x0000_t202" style="position:absolute;margin-left:437.15pt;margin-top:36pt;width:90pt;height:3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" filled="f" stroked="f">
              <v:path arrowok="t"/>
              <v:textbox inset="0,0,0,0">
                <w:txbxContent>
                  <w:p w14:paraId="0FB08F53" w14:textId="77777777" w:rsidR="005D2D97" w:rsidRDefault="005D2D97" w:rsidP="005D2D97">
                    <w:pPr>
                      <w:pStyle w:val="ListParagraph"/>
                      <w:spacing w:before="21"/>
                      <w:ind w:left="236"/>
                      <w:rPr>
                        <w:rFonts w:ascii="Verdana"/>
                      </w:rPr>
                    </w:pPr>
                    <w:r>
                      <w:rPr>
                        <w:rFonts w:ascii="Verdana"/>
                        <w:w w:val="80"/>
                      </w:rPr>
                      <w:t>ISSN</w:t>
                    </w:r>
                    <w:r>
                      <w:rPr>
                        <w:rFonts w:ascii="Verdana"/>
                        <w:spacing w:val="-6"/>
                      </w:rPr>
                      <w:t xml:space="preserve"> </w:t>
                    </w:r>
                    <w:r>
                      <w:rPr>
                        <w:rFonts w:ascii="Verdana"/>
                        <w:w w:val="80"/>
                      </w:rPr>
                      <w:t>2656-</w:t>
                    </w:r>
                    <w:r>
                      <w:rPr>
                        <w:rFonts w:ascii="Verdana"/>
                        <w:spacing w:val="-4"/>
                        <w:w w:val="80"/>
                      </w:rPr>
                      <w:t>2855</w:t>
                    </w:r>
                  </w:p>
                  <w:p w14:paraId="037727F1" w14:textId="77777777" w:rsidR="005D2D97" w:rsidRDefault="005D2D97" w:rsidP="005D2D97">
                    <w:pPr>
                      <w:pStyle w:val="ListParagraph"/>
                      <w:spacing w:before="83"/>
                      <w:ind w:left="20"/>
                      <w:rPr>
                        <w:rFonts w:ascii="Verdana"/>
                      </w:rPr>
                    </w:pPr>
                    <w:r>
                      <w:rPr>
                        <w:rFonts w:ascii="Verdana"/>
                        <w:w w:val="80"/>
                      </w:rPr>
                      <w:t>e-ISSN</w:t>
                    </w:r>
                    <w:r>
                      <w:rPr>
                        <w:rFonts w:ascii="Verdana"/>
                        <w:spacing w:val="23"/>
                      </w:rPr>
                      <w:t xml:space="preserve"> </w:t>
                    </w:r>
                    <w:r>
                      <w:rPr>
                        <w:rFonts w:ascii="Verdana"/>
                        <w:w w:val="80"/>
                      </w:rPr>
                      <w:t>2685-</w:t>
                    </w:r>
                    <w:r>
                      <w:rPr>
                        <w:rFonts w:ascii="Verdana"/>
                        <w:spacing w:val="-4"/>
                        <w:w w:val="80"/>
                      </w:rPr>
                      <w:t>5518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DBD36" w14:textId="57708DC1" w:rsidR="003066DB" w:rsidRPr="003066DB" w:rsidRDefault="003066DB" w:rsidP="003066DB">
    <w:pPr>
      <w:pStyle w:val="Header"/>
      <w:jc w:val="center"/>
      <w:rPr>
        <w:rFonts w:ascii="Times New Roman" w:hAnsi="Times New Roman" w:cs="Times New Roman"/>
      </w:rPr>
    </w:pPr>
    <w:r w:rsidRPr="003066DB">
      <w:rPr>
        <w:rFonts w:ascii="Times New Roman" w:hAnsi="Times New Roman" w:cs="Times New Roman"/>
      </w:rPr>
      <w:t>Lembaran Ilmu Kependidikan 51(1) (2022): 21-32</w:t>
    </w:r>
  </w:p>
  <w:p w14:paraId="6A6B5A40" w14:textId="7F9B0A58" w:rsidR="00E242DA" w:rsidRPr="003066DB" w:rsidRDefault="00E242DA" w:rsidP="003066DB">
    <w:pPr>
      <w:pStyle w:val="BodyText"/>
      <w:spacing w:line="14" w:lineRule="auto"/>
      <w:ind w:left="0"/>
      <w:jc w:val="center"/>
      <w:rPr>
        <w:rFonts w:ascii="Times New Roman" w:hAnsi="Times New Roman" w:cs="Times New Roman"/>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A2EC0" w14:textId="77777777" w:rsidR="00A5273B" w:rsidRPr="003066DB" w:rsidRDefault="00A5273B" w:rsidP="00A5273B">
    <w:pPr>
      <w:pStyle w:val="BodyText"/>
      <w:spacing w:line="14" w:lineRule="auto"/>
      <w:ind w:left="0"/>
      <w:jc w:val="center"/>
      <w:rPr>
        <w:rFonts w:ascii="Times New Roman" w:hAnsi="Times New Roman" w:cs="Times New Roman"/>
        <w:sz w:val="14"/>
        <w:szCs w:val="14"/>
      </w:rPr>
    </w:pPr>
  </w:p>
  <w:p w14:paraId="4244FB24" w14:textId="0C46193F" w:rsidR="00E242DA" w:rsidRPr="00162C7E" w:rsidRDefault="00E242DA" w:rsidP="00162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44FB6"/>
    <w:multiLevelType w:val="hybridMultilevel"/>
    <w:tmpl w:val="E572EF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F95C66"/>
    <w:multiLevelType w:val="hybridMultilevel"/>
    <w:tmpl w:val="CEFAD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F5667"/>
    <w:multiLevelType w:val="hybridMultilevel"/>
    <w:tmpl w:val="0D9ED968"/>
    <w:lvl w:ilvl="0" w:tplc="F78EB1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6C616AC"/>
    <w:multiLevelType w:val="hybridMultilevel"/>
    <w:tmpl w:val="A9A8387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72171AF3"/>
    <w:multiLevelType w:val="hybridMultilevel"/>
    <w:tmpl w:val="1152D58E"/>
    <w:lvl w:ilvl="0" w:tplc="E07CB4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70380"/>
    <w:multiLevelType w:val="hybridMultilevel"/>
    <w:tmpl w:val="A9A8387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DA"/>
    <w:rsid w:val="00005B2B"/>
    <w:rsid w:val="00076A9E"/>
    <w:rsid w:val="00096585"/>
    <w:rsid w:val="000A1701"/>
    <w:rsid w:val="000C2A65"/>
    <w:rsid w:val="000C4DC4"/>
    <w:rsid w:val="000E7583"/>
    <w:rsid w:val="000F4FD9"/>
    <w:rsid w:val="00114A0E"/>
    <w:rsid w:val="001248DA"/>
    <w:rsid w:val="00130806"/>
    <w:rsid w:val="00162C7E"/>
    <w:rsid w:val="0018044C"/>
    <w:rsid w:val="0018212D"/>
    <w:rsid w:val="00185618"/>
    <w:rsid w:val="001875C5"/>
    <w:rsid w:val="002273C7"/>
    <w:rsid w:val="002276AF"/>
    <w:rsid w:val="002323F9"/>
    <w:rsid w:val="002453A0"/>
    <w:rsid w:val="0025536F"/>
    <w:rsid w:val="0027093A"/>
    <w:rsid w:val="00273C49"/>
    <w:rsid w:val="002B14BB"/>
    <w:rsid w:val="002D2BA3"/>
    <w:rsid w:val="002E7254"/>
    <w:rsid w:val="002F7996"/>
    <w:rsid w:val="003066DB"/>
    <w:rsid w:val="00307164"/>
    <w:rsid w:val="003209F9"/>
    <w:rsid w:val="00356857"/>
    <w:rsid w:val="003926B0"/>
    <w:rsid w:val="003B2BA6"/>
    <w:rsid w:val="003C47B7"/>
    <w:rsid w:val="003D70EB"/>
    <w:rsid w:val="003F3A60"/>
    <w:rsid w:val="003F48C5"/>
    <w:rsid w:val="0040159E"/>
    <w:rsid w:val="004044A2"/>
    <w:rsid w:val="00407B72"/>
    <w:rsid w:val="0047059F"/>
    <w:rsid w:val="004949CD"/>
    <w:rsid w:val="004E1452"/>
    <w:rsid w:val="004E42C6"/>
    <w:rsid w:val="004E5391"/>
    <w:rsid w:val="004E7CEA"/>
    <w:rsid w:val="00515BC8"/>
    <w:rsid w:val="00521F4B"/>
    <w:rsid w:val="00536343"/>
    <w:rsid w:val="00560007"/>
    <w:rsid w:val="00566011"/>
    <w:rsid w:val="00572203"/>
    <w:rsid w:val="00590D2C"/>
    <w:rsid w:val="005A02A2"/>
    <w:rsid w:val="005D2D97"/>
    <w:rsid w:val="005E1477"/>
    <w:rsid w:val="005E3AF2"/>
    <w:rsid w:val="005F4814"/>
    <w:rsid w:val="006279A3"/>
    <w:rsid w:val="00641BED"/>
    <w:rsid w:val="00643179"/>
    <w:rsid w:val="006845A8"/>
    <w:rsid w:val="006B2608"/>
    <w:rsid w:val="006B4315"/>
    <w:rsid w:val="006B4EB2"/>
    <w:rsid w:val="006C53B5"/>
    <w:rsid w:val="007022B8"/>
    <w:rsid w:val="00724290"/>
    <w:rsid w:val="00734AC9"/>
    <w:rsid w:val="00736B48"/>
    <w:rsid w:val="007605AE"/>
    <w:rsid w:val="007626CD"/>
    <w:rsid w:val="007B5E22"/>
    <w:rsid w:val="007C30DE"/>
    <w:rsid w:val="007C4B45"/>
    <w:rsid w:val="007D11B8"/>
    <w:rsid w:val="007F30B0"/>
    <w:rsid w:val="007F563D"/>
    <w:rsid w:val="00825D90"/>
    <w:rsid w:val="00895DE8"/>
    <w:rsid w:val="0094315F"/>
    <w:rsid w:val="00991706"/>
    <w:rsid w:val="009A36CC"/>
    <w:rsid w:val="00A00277"/>
    <w:rsid w:val="00A423DF"/>
    <w:rsid w:val="00A5273B"/>
    <w:rsid w:val="00A86526"/>
    <w:rsid w:val="00AB20F8"/>
    <w:rsid w:val="00AD475E"/>
    <w:rsid w:val="00AE4255"/>
    <w:rsid w:val="00B2662E"/>
    <w:rsid w:val="00B27C30"/>
    <w:rsid w:val="00B6097D"/>
    <w:rsid w:val="00B723E2"/>
    <w:rsid w:val="00B93A38"/>
    <w:rsid w:val="00BF5855"/>
    <w:rsid w:val="00C00971"/>
    <w:rsid w:val="00C023BA"/>
    <w:rsid w:val="00C11D97"/>
    <w:rsid w:val="00C37842"/>
    <w:rsid w:val="00C40193"/>
    <w:rsid w:val="00C56F2A"/>
    <w:rsid w:val="00C61C02"/>
    <w:rsid w:val="00C70131"/>
    <w:rsid w:val="00C7158B"/>
    <w:rsid w:val="00CC5449"/>
    <w:rsid w:val="00D02D9C"/>
    <w:rsid w:val="00D1345F"/>
    <w:rsid w:val="00D15CF0"/>
    <w:rsid w:val="00D20DB0"/>
    <w:rsid w:val="00D30896"/>
    <w:rsid w:val="00D70C97"/>
    <w:rsid w:val="00DC1CF6"/>
    <w:rsid w:val="00DC599C"/>
    <w:rsid w:val="00E127A8"/>
    <w:rsid w:val="00E22351"/>
    <w:rsid w:val="00E242DA"/>
    <w:rsid w:val="00E25A40"/>
    <w:rsid w:val="00E26C4E"/>
    <w:rsid w:val="00E67D6D"/>
    <w:rsid w:val="00E75E6A"/>
    <w:rsid w:val="00E8170B"/>
    <w:rsid w:val="00EC755B"/>
    <w:rsid w:val="00EE66A8"/>
    <w:rsid w:val="00EF41CF"/>
    <w:rsid w:val="00F01A26"/>
    <w:rsid w:val="00F34652"/>
    <w:rsid w:val="00F45DE6"/>
    <w:rsid w:val="00F476A8"/>
    <w:rsid w:val="00F847D6"/>
    <w:rsid w:val="00FB4357"/>
    <w:rsid w:val="00FB5282"/>
    <w:rsid w:val="00FD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0B995"/>
  <w15:docId w15:val="{7097C5AD-A143-41D9-B49C-6864C4D8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0"/>
      <w:szCs w:val="20"/>
    </w:rPr>
  </w:style>
  <w:style w:type="paragraph" w:styleId="Title">
    <w:name w:val="Title"/>
    <w:basedOn w:val="Normal"/>
    <w:uiPriority w:val="10"/>
    <w:qFormat/>
    <w:pPr>
      <w:spacing w:before="135"/>
      <w:ind w:left="140" w:right="165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
      <w:ind w:left="56"/>
    </w:pPr>
  </w:style>
  <w:style w:type="character" w:customStyle="1" w:styleId="fontstyle01">
    <w:name w:val="fontstyle01"/>
    <w:basedOn w:val="DefaultParagraphFont"/>
    <w:rsid w:val="00C023BA"/>
    <w:rPr>
      <w:rFonts w:ascii="Times New Roman" w:hAnsi="Times New Roman" w:cs="Times New Roman" w:hint="default"/>
      <w:b w:val="0"/>
      <w:bCs w:val="0"/>
      <w:i w:val="0"/>
      <w:iCs w:val="0"/>
      <w:color w:val="000000"/>
      <w:sz w:val="22"/>
      <w:szCs w:val="22"/>
    </w:rPr>
  </w:style>
  <w:style w:type="paragraph" w:styleId="Header">
    <w:name w:val="header"/>
    <w:basedOn w:val="Normal"/>
    <w:link w:val="HeaderChar"/>
    <w:uiPriority w:val="99"/>
    <w:unhideWhenUsed/>
    <w:rsid w:val="000F4FD9"/>
    <w:pPr>
      <w:tabs>
        <w:tab w:val="center" w:pos="4680"/>
        <w:tab w:val="right" w:pos="9360"/>
      </w:tabs>
    </w:pPr>
  </w:style>
  <w:style w:type="character" w:customStyle="1" w:styleId="HeaderChar">
    <w:name w:val="Header Char"/>
    <w:basedOn w:val="DefaultParagraphFont"/>
    <w:link w:val="Header"/>
    <w:uiPriority w:val="99"/>
    <w:rsid w:val="000F4FD9"/>
    <w:rPr>
      <w:rFonts w:ascii="Cambria" w:eastAsia="Cambria" w:hAnsi="Cambria" w:cs="Cambria"/>
    </w:rPr>
  </w:style>
  <w:style w:type="paragraph" w:styleId="Footer">
    <w:name w:val="footer"/>
    <w:basedOn w:val="Normal"/>
    <w:link w:val="FooterChar"/>
    <w:uiPriority w:val="99"/>
    <w:unhideWhenUsed/>
    <w:rsid w:val="000F4FD9"/>
    <w:pPr>
      <w:tabs>
        <w:tab w:val="center" w:pos="4680"/>
        <w:tab w:val="right" w:pos="9360"/>
      </w:tabs>
    </w:pPr>
  </w:style>
  <w:style w:type="character" w:customStyle="1" w:styleId="FooterChar">
    <w:name w:val="Footer Char"/>
    <w:basedOn w:val="DefaultParagraphFont"/>
    <w:link w:val="Footer"/>
    <w:uiPriority w:val="99"/>
    <w:rsid w:val="000F4FD9"/>
    <w:rPr>
      <w:rFonts w:ascii="Cambria" w:eastAsia="Cambria" w:hAnsi="Cambria" w:cs="Cambria"/>
    </w:rPr>
  </w:style>
  <w:style w:type="table" w:styleId="PlainTable2">
    <w:name w:val="Plain Table 2"/>
    <w:basedOn w:val="TableNormal"/>
    <w:uiPriority w:val="42"/>
    <w:rsid w:val="00E25A40"/>
    <w:pPr>
      <w:widowControl/>
      <w:autoSpaceDE/>
      <w:autoSpaceDN/>
    </w:pPr>
    <w:rPr>
      <w:rFonts w:eastAsiaTheme="minorEastAsia" w:cs="Times New Roman"/>
      <w:sz w:val="24"/>
      <w:szCs w:val="24"/>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86526"/>
    <w:rPr>
      <w:color w:val="0000FF" w:themeColor="hyperlink"/>
      <w:u w:val="single"/>
    </w:rPr>
  </w:style>
  <w:style w:type="character" w:customStyle="1" w:styleId="UnresolvedMention">
    <w:name w:val="Unresolved Mention"/>
    <w:basedOn w:val="DefaultParagraphFont"/>
    <w:uiPriority w:val="99"/>
    <w:semiHidden/>
    <w:unhideWhenUsed/>
    <w:rsid w:val="00A86526"/>
    <w:rPr>
      <w:color w:val="605E5C"/>
      <w:shd w:val="clear" w:color="auto" w:fill="E1DFDD"/>
    </w:rPr>
  </w:style>
  <w:style w:type="table" w:styleId="TableGrid">
    <w:name w:val="Table Grid"/>
    <w:basedOn w:val="TableNormal"/>
    <w:uiPriority w:val="39"/>
    <w:rsid w:val="001875C5"/>
    <w:pPr>
      <w:widowControl/>
      <w:autoSpaceDE/>
      <w:autoSpaceDN/>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agfir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83"/>
    <w:rsid w:val="00404407"/>
    <w:rsid w:val="005E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33D6D4C6F942AF872B1E34AB9F263F">
    <w:name w:val="4F33D6D4C6F942AF872B1E34AB9F263F"/>
    <w:rsid w:val="005E3883"/>
  </w:style>
  <w:style w:type="paragraph" w:customStyle="1" w:styleId="7A13B61C792648E7A5DB53DB04E79BD0">
    <w:name w:val="7A13B61C792648E7A5DB53DB04E79BD0"/>
    <w:rsid w:val="005E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8054AFE-87E6-49A2-81E3-F4BC25CE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10048</Words>
  <Characters>57278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Kartikasari</dc:creator>
  <cp:lastModifiedBy>MUST3</cp:lastModifiedBy>
  <cp:revision>3</cp:revision>
  <cp:lastPrinted>2023-01-30T22:32:00Z</cp:lastPrinted>
  <dcterms:created xsi:type="dcterms:W3CDTF">2024-03-23T00:47:00Z</dcterms:created>
  <dcterms:modified xsi:type="dcterms:W3CDTF">2024-03-23T01:08:00Z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Adobe InDesign 15.0 (Macintosh)</vt:lpwstr>
  </property>
  <property fmtid="{D5CDD505-2E9C-101B-9397-08002B2CF9AE}" pid="4" name="LastSaved">
    <vt:filetime>2022-04-07T00:00:00Z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b8b8935f-5e65-3f68-b252-d29102433615</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