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EA8A" w14:textId="1080F99B" w:rsidR="007759A2" w:rsidRDefault="00824660" w:rsidP="00824660">
      <w:pPr>
        <w:spacing w:after="0" w:line="240" w:lineRule="auto"/>
        <w:jc w:val="center"/>
        <w:rPr>
          <w:rFonts w:ascii="Palatino Linotype" w:hAnsi="Palatino Linotype"/>
          <w:b/>
          <w:bCs/>
          <w:sz w:val="36"/>
          <w:szCs w:val="36"/>
        </w:rPr>
      </w:pPr>
      <w:proofErr w:type="spellStart"/>
      <w:r w:rsidRPr="00824660">
        <w:rPr>
          <w:rFonts w:ascii="Palatino Linotype" w:hAnsi="Palatino Linotype"/>
          <w:b/>
          <w:bCs/>
          <w:sz w:val="36"/>
          <w:szCs w:val="36"/>
        </w:rPr>
        <w:t>Nanoemulsion</w:t>
      </w:r>
      <w:proofErr w:type="spellEnd"/>
      <w:r w:rsidRPr="00824660">
        <w:rPr>
          <w:rFonts w:ascii="Palatino Linotype" w:hAnsi="Palatino Linotype"/>
          <w:b/>
          <w:bCs/>
          <w:sz w:val="36"/>
          <w:szCs w:val="36"/>
        </w:rPr>
        <w:t xml:space="preserve"> </w:t>
      </w:r>
      <w:r>
        <w:rPr>
          <w:rFonts w:ascii="Palatino Linotype" w:hAnsi="Palatino Linotype"/>
          <w:b/>
          <w:bCs/>
          <w:sz w:val="36"/>
          <w:szCs w:val="36"/>
        </w:rPr>
        <w:t>a</w:t>
      </w:r>
      <w:r w:rsidRPr="00824660">
        <w:rPr>
          <w:rFonts w:ascii="Palatino Linotype" w:hAnsi="Palatino Linotype"/>
          <w:b/>
          <w:bCs/>
          <w:sz w:val="36"/>
          <w:szCs w:val="36"/>
        </w:rPr>
        <w:t xml:space="preserve">nd Multilayer </w:t>
      </w:r>
      <w:proofErr w:type="spellStart"/>
      <w:r w:rsidRPr="00824660">
        <w:rPr>
          <w:rFonts w:ascii="Palatino Linotype" w:hAnsi="Palatino Linotype"/>
          <w:b/>
          <w:bCs/>
          <w:sz w:val="36"/>
          <w:szCs w:val="36"/>
        </w:rPr>
        <w:t>Nanoemulsion</w:t>
      </w:r>
      <w:proofErr w:type="spellEnd"/>
      <w:r w:rsidRPr="00824660">
        <w:rPr>
          <w:rFonts w:ascii="Palatino Linotype" w:hAnsi="Palatino Linotype"/>
          <w:b/>
          <w:bCs/>
          <w:sz w:val="36"/>
          <w:szCs w:val="36"/>
        </w:rPr>
        <w:t xml:space="preserve"> Encapsulated </w:t>
      </w:r>
      <w:r>
        <w:rPr>
          <w:rFonts w:ascii="Palatino Linotype" w:hAnsi="Palatino Linotype"/>
          <w:b/>
          <w:bCs/>
          <w:sz w:val="36"/>
          <w:szCs w:val="36"/>
        </w:rPr>
        <w:t>w</w:t>
      </w:r>
      <w:r w:rsidRPr="00824660">
        <w:rPr>
          <w:rFonts w:ascii="Palatino Linotype" w:hAnsi="Palatino Linotype"/>
          <w:b/>
          <w:bCs/>
          <w:sz w:val="36"/>
          <w:szCs w:val="36"/>
        </w:rPr>
        <w:t xml:space="preserve">ith Chitosan Improving </w:t>
      </w:r>
      <w:proofErr w:type="gramStart"/>
      <w:r w:rsidRPr="00824660">
        <w:rPr>
          <w:rFonts w:ascii="Palatino Linotype" w:hAnsi="Palatino Linotype"/>
          <w:b/>
          <w:bCs/>
          <w:sz w:val="36"/>
          <w:szCs w:val="36"/>
        </w:rPr>
        <w:t>The</w:t>
      </w:r>
      <w:proofErr w:type="gramEnd"/>
      <w:r w:rsidRPr="00824660">
        <w:rPr>
          <w:rFonts w:ascii="Palatino Linotype" w:hAnsi="Palatino Linotype"/>
          <w:b/>
          <w:bCs/>
          <w:sz w:val="36"/>
          <w:szCs w:val="36"/>
        </w:rPr>
        <w:t xml:space="preserve"> Stability </w:t>
      </w:r>
      <w:r>
        <w:rPr>
          <w:rFonts w:ascii="Palatino Linotype" w:hAnsi="Palatino Linotype"/>
          <w:b/>
          <w:bCs/>
          <w:sz w:val="36"/>
          <w:szCs w:val="36"/>
        </w:rPr>
        <w:t>a</w:t>
      </w:r>
      <w:r w:rsidRPr="00824660">
        <w:rPr>
          <w:rFonts w:ascii="Palatino Linotype" w:hAnsi="Palatino Linotype"/>
          <w:b/>
          <w:bCs/>
          <w:sz w:val="36"/>
          <w:szCs w:val="36"/>
        </w:rPr>
        <w:t xml:space="preserve">nd </w:t>
      </w:r>
      <w:proofErr w:type="spellStart"/>
      <w:r w:rsidRPr="00824660">
        <w:rPr>
          <w:rFonts w:ascii="Palatino Linotype" w:hAnsi="Palatino Linotype"/>
          <w:b/>
          <w:bCs/>
          <w:sz w:val="36"/>
          <w:szCs w:val="36"/>
        </w:rPr>
        <w:t>Bioaccessibility</w:t>
      </w:r>
      <w:proofErr w:type="spellEnd"/>
      <w:r w:rsidRPr="00824660">
        <w:rPr>
          <w:rFonts w:ascii="Palatino Linotype" w:hAnsi="Palatino Linotype"/>
          <w:b/>
          <w:bCs/>
          <w:sz w:val="36"/>
          <w:szCs w:val="36"/>
        </w:rPr>
        <w:t xml:space="preserve"> </w:t>
      </w:r>
      <w:r>
        <w:rPr>
          <w:rFonts w:ascii="Palatino Linotype" w:hAnsi="Palatino Linotype"/>
          <w:b/>
          <w:bCs/>
          <w:sz w:val="36"/>
          <w:szCs w:val="36"/>
        </w:rPr>
        <w:t>o</w:t>
      </w:r>
      <w:r w:rsidRPr="00824660">
        <w:rPr>
          <w:rFonts w:ascii="Palatino Linotype" w:hAnsi="Palatino Linotype"/>
          <w:b/>
          <w:bCs/>
          <w:sz w:val="36"/>
          <w:szCs w:val="36"/>
        </w:rPr>
        <w:t>f Curcumin</w:t>
      </w:r>
    </w:p>
    <w:p w14:paraId="2CF74C9E" w14:textId="77777777" w:rsidR="00824660" w:rsidRPr="00824660" w:rsidRDefault="00824660" w:rsidP="00824660">
      <w:pPr>
        <w:spacing w:after="0" w:line="240" w:lineRule="auto"/>
        <w:jc w:val="center"/>
        <w:rPr>
          <w:rFonts w:ascii="Palatino Linotype" w:hAnsi="Palatino Linotype"/>
          <w:b/>
          <w:bCs/>
          <w:sz w:val="36"/>
          <w:szCs w:val="36"/>
        </w:rPr>
      </w:pPr>
    </w:p>
    <w:p w14:paraId="2905AA13" w14:textId="2013F350" w:rsidR="00455CC8" w:rsidRPr="007A1605" w:rsidRDefault="00455CC8" w:rsidP="00824660">
      <w:pPr>
        <w:spacing w:after="0" w:line="240" w:lineRule="auto"/>
        <w:jc w:val="center"/>
        <w:rPr>
          <w:rFonts w:ascii="Palatino Linotype" w:hAnsi="Palatino Linotype"/>
          <w:b/>
          <w:bCs/>
          <w:sz w:val="24"/>
          <w:szCs w:val="24"/>
        </w:rPr>
      </w:pPr>
      <w:r w:rsidRPr="007A1605">
        <w:rPr>
          <w:rFonts w:ascii="Palatino Linotype" w:hAnsi="Palatino Linotype"/>
          <w:b/>
          <w:bCs/>
          <w:sz w:val="24"/>
          <w:szCs w:val="24"/>
        </w:rPr>
        <w:t>Alwani Hamad</w:t>
      </w:r>
      <w:r w:rsidR="000851EC" w:rsidRPr="007A1605">
        <w:rPr>
          <w:rFonts w:ascii="Palatino Linotype" w:hAnsi="Palatino Linotype"/>
          <w:b/>
          <w:bCs/>
          <w:sz w:val="24"/>
          <w:szCs w:val="24"/>
          <w:vertAlign w:val="superscript"/>
        </w:rPr>
        <w:t>1</w:t>
      </w:r>
      <w:r w:rsidR="00CB69B5" w:rsidRPr="007A1605">
        <w:rPr>
          <w:rFonts w:ascii="Palatino Linotype" w:hAnsi="Palatino Linotype"/>
          <w:b/>
          <w:bCs/>
          <w:sz w:val="24"/>
          <w:szCs w:val="24"/>
          <w:vertAlign w:val="superscript"/>
        </w:rPr>
        <w:t>*</w:t>
      </w:r>
      <w:r w:rsidRPr="007A1605">
        <w:rPr>
          <w:rFonts w:ascii="Palatino Linotype" w:hAnsi="Palatino Linotype"/>
          <w:b/>
          <w:bCs/>
          <w:sz w:val="24"/>
          <w:szCs w:val="24"/>
        </w:rPr>
        <w:t xml:space="preserve">, </w:t>
      </w:r>
      <w:proofErr w:type="spellStart"/>
      <w:r w:rsidRPr="007A1605">
        <w:rPr>
          <w:rFonts w:ascii="Palatino Linotype" w:hAnsi="Palatino Linotype"/>
          <w:b/>
          <w:bCs/>
          <w:sz w:val="24"/>
          <w:szCs w:val="24"/>
        </w:rPr>
        <w:t>Afwa</w:t>
      </w:r>
      <w:proofErr w:type="spellEnd"/>
      <w:r w:rsidRPr="007A1605">
        <w:rPr>
          <w:rFonts w:ascii="Palatino Linotype" w:hAnsi="Palatino Linotype"/>
          <w:b/>
          <w:bCs/>
          <w:sz w:val="24"/>
          <w:szCs w:val="24"/>
        </w:rPr>
        <w:t xml:space="preserve"> Hayuningtyas</w:t>
      </w:r>
      <w:r w:rsidR="000851EC" w:rsidRPr="007A1605">
        <w:rPr>
          <w:rFonts w:ascii="Palatino Linotype" w:hAnsi="Palatino Linotype"/>
          <w:b/>
          <w:bCs/>
          <w:sz w:val="24"/>
          <w:szCs w:val="24"/>
          <w:vertAlign w:val="superscript"/>
        </w:rPr>
        <w:t>2</w:t>
      </w:r>
      <w:r w:rsidRPr="007A1605">
        <w:rPr>
          <w:rFonts w:ascii="Palatino Linotype" w:hAnsi="Palatino Linotype"/>
          <w:b/>
          <w:bCs/>
          <w:sz w:val="24"/>
          <w:szCs w:val="24"/>
        </w:rPr>
        <w:t xml:space="preserve">, </w:t>
      </w:r>
      <w:proofErr w:type="spellStart"/>
      <w:r w:rsidRPr="007A1605">
        <w:rPr>
          <w:rFonts w:ascii="Palatino Linotype" w:hAnsi="Palatino Linotype"/>
          <w:b/>
          <w:bCs/>
          <w:sz w:val="24"/>
          <w:szCs w:val="24"/>
        </w:rPr>
        <w:t>Bekti</w:t>
      </w:r>
      <w:proofErr w:type="spellEnd"/>
      <w:r w:rsidRPr="007A1605">
        <w:rPr>
          <w:rFonts w:ascii="Palatino Linotype" w:hAnsi="Palatino Linotype"/>
          <w:b/>
          <w:bCs/>
          <w:sz w:val="24"/>
          <w:szCs w:val="24"/>
        </w:rPr>
        <w:t xml:space="preserve"> </w:t>
      </w:r>
      <w:proofErr w:type="spellStart"/>
      <w:r w:rsidRPr="007A1605">
        <w:rPr>
          <w:rFonts w:ascii="Palatino Linotype" w:hAnsi="Palatino Linotype"/>
          <w:b/>
          <w:bCs/>
          <w:sz w:val="24"/>
          <w:szCs w:val="24"/>
        </w:rPr>
        <w:t>Wulan</w:t>
      </w:r>
      <w:proofErr w:type="spellEnd"/>
      <w:r w:rsidRPr="007A1605">
        <w:rPr>
          <w:rFonts w:ascii="Palatino Linotype" w:hAnsi="Palatino Linotype"/>
          <w:b/>
          <w:bCs/>
          <w:sz w:val="24"/>
          <w:szCs w:val="24"/>
        </w:rPr>
        <w:t xml:space="preserve"> Sari</w:t>
      </w:r>
      <w:r w:rsidR="000851EC" w:rsidRPr="007A1605">
        <w:rPr>
          <w:rFonts w:ascii="Palatino Linotype" w:hAnsi="Palatino Linotype"/>
          <w:b/>
          <w:bCs/>
          <w:sz w:val="24"/>
          <w:szCs w:val="24"/>
          <w:vertAlign w:val="superscript"/>
        </w:rPr>
        <w:t>3</w:t>
      </w:r>
      <w:r w:rsidRPr="007A1605">
        <w:rPr>
          <w:rFonts w:ascii="Palatino Linotype" w:hAnsi="Palatino Linotype"/>
          <w:b/>
          <w:bCs/>
          <w:sz w:val="24"/>
          <w:szCs w:val="24"/>
        </w:rPr>
        <w:t xml:space="preserve">, </w:t>
      </w:r>
      <w:proofErr w:type="spellStart"/>
      <w:r w:rsidR="002924B2" w:rsidRPr="007A1605">
        <w:rPr>
          <w:rFonts w:ascii="Palatino Linotype" w:hAnsi="Palatino Linotype"/>
          <w:b/>
          <w:bCs/>
          <w:sz w:val="24"/>
          <w:szCs w:val="24"/>
        </w:rPr>
        <w:t>Mubshair</w:t>
      </w:r>
      <w:proofErr w:type="spellEnd"/>
      <w:r w:rsidR="002924B2" w:rsidRPr="007A1605">
        <w:rPr>
          <w:rFonts w:ascii="Palatino Linotype" w:hAnsi="Palatino Linotype"/>
          <w:b/>
          <w:bCs/>
          <w:sz w:val="24"/>
          <w:szCs w:val="24"/>
        </w:rPr>
        <w:t xml:space="preserve"> Naveed </w:t>
      </w:r>
      <w:r w:rsidR="000851EC" w:rsidRPr="007A1605">
        <w:rPr>
          <w:rFonts w:ascii="Palatino Linotype" w:hAnsi="Palatino Linotype"/>
          <w:b/>
          <w:bCs/>
          <w:sz w:val="24"/>
          <w:szCs w:val="24"/>
          <w:vertAlign w:val="superscript"/>
        </w:rPr>
        <w:t>4</w:t>
      </w:r>
    </w:p>
    <w:p w14:paraId="6774315C" w14:textId="77777777" w:rsid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vertAlign w:val="superscript"/>
        </w:rPr>
        <w:t>1</w:t>
      </w:r>
      <w:r w:rsidRPr="00824660">
        <w:rPr>
          <w:rFonts w:ascii="Palatino Linotype" w:hAnsi="Palatino Linotype"/>
          <w:szCs w:val="22"/>
        </w:rPr>
        <w:t xml:space="preserve">Department of Chemical Engineering, Faculty of Engineering and Science, </w:t>
      </w:r>
    </w:p>
    <w:p w14:paraId="245220C7" w14:textId="077D2800" w:rsidR="000851EC" w:rsidRP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rPr>
        <w:t xml:space="preserve">Universitas Muhammadiyah </w:t>
      </w:r>
      <w:proofErr w:type="spellStart"/>
      <w:r w:rsidRPr="00824660">
        <w:rPr>
          <w:rFonts w:ascii="Palatino Linotype" w:hAnsi="Palatino Linotype"/>
          <w:szCs w:val="22"/>
        </w:rPr>
        <w:t>Purwokerto</w:t>
      </w:r>
      <w:proofErr w:type="spellEnd"/>
      <w:r w:rsidRPr="00824660">
        <w:rPr>
          <w:rFonts w:ascii="Palatino Linotype" w:hAnsi="Palatino Linotype"/>
          <w:szCs w:val="22"/>
        </w:rPr>
        <w:t>, Indonesia</w:t>
      </w:r>
    </w:p>
    <w:p w14:paraId="51D8DC02" w14:textId="77777777" w:rsid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vertAlign w:val="superscript"/>
        </w:rPr>
        <w:t>2</w:t>
      </w:r>
      <w:r w:rsidRPr="00824660">
        <w:rPr>
          <w:rFonts w:ascii="Palatino Linotype" w:hAnsi="Palatino Linotype"/>
          <w:szCs w:val="22"/>
        </w:rPr>
        <w:t xml:space="preserve">Department of </w:t>
      </w:r>
      <w:r w:rsidR="00CB69B5" w:rsidRPr="00824660">
        <w:rPr>
          <w:rFonts w:ascii="Palatino Linotype" w:hAnsi="Palatino Linotype"/>
          <w:szCs w:val="22"/>
        </w:rPr>
        <w:t>Agricultural Product Technology</w:t>
      </w:r>
      <w:r w:rsidRPr="00824660">
        <w:rPr>
          <w:rFonts w:ascii="Palatino Linotype" w:hAnsi="Palatino Linotype"/>
          <w:szCs w:val="22"/>
        </w:rPr>
        <w:t xml:space="preserve">, Faculty of </w:t>
      </w:r>
      <w:r w:rsidR="00CB69B5" w:rsidRPr="00824660">
        <w:rPr>
          <w:rFonts w:ascii="Palatino Linotype" w:hAnsi="Palatino Linotype"/>
          <w:szCs w:val="22"/>
        </w:rPr>
        <w:t>Agriculture</w:t>
      </w:r>
      <w:r w:rsidRPr="00824660">
        <w:rPr>
          <w:rFonts w:ascii="Palatino Linotype" w:hAnsi="Palatino Linotype"/>
          <w:szCs w:val="22"/>
        </w:rPr>
        <w:t xml:space="preserve">, </w:t>
      </w:r>
    </w:p>
    <w:p w14:paraId="11EF6FC1" w14:textId="299EF2E4" w:rsid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rPr>
        <w:t xml:space="preserve">Universitas </w:t>
      </w:r>
      <w:proofErr w:type="spellStart"/>
      <w:r w:rsidRPr="00824660">
        <w:rPr>
          <w:rFonts w:ascii="Palatino Linotype" w:hAnsi="Palatino Linotype"/>
          <w:szCs w:val="22"/>
        </w:rPr>
        <w:t>Teuku</w:t>
      </w:r>
      <w:proofErr w:type="spellEnd"/>
      <w:r w:rsidRPr="00824660">
        <w:rPr>
          <w:rFonts w:ascii="Palatino Linotype" w:hAnsi="Palatino Linotype"/>
          <w:szCs w:val="22"/>
        </w:rPr>
        <w:t xml:space="preserve"> Umar, Aceh, Indonesia </w:t>
      </w:r>
      <w:r w:rsidRPr="00824660">
        <w:rPr>
          <w:rFonts w:ascii="Palatino Linotype" w:hAnsi="Palatino Linotype"/>
          <w:szCs w:val="22"/>
        </w:rPr>
        <w:br/>
      </w:r>
      <w:r w:rsidRPr="00824660">
        <w:rPr>
          <w:rFonts w:ascii="Palatino Linotype" w:hAnsi="Palatino Linotype"/>
          <w:szCs w:val="22"/>
          <w:vertAlign w:val="superscript"/>
        </w:rPr>
        <w:t>3</w:t>
      </w:r>
      <w:r w:rsidRPr="00824660">
        <w:rPr>
          <w:rFonts w:ascii="Palatino Linotype" w:hAnsi="Palatino Linotype"/>
          <w:szCs w:val="22"/>
        </w:rPr>
        <w:t xml:space="preserve">Department of Nutrition, Faculty of Public Health, Universitas Ahmad Dahlan, </w:t>
      </w:r>
    </w:p>
    <w:p w14:paraId="506A1D3F" w14:textId="6E3C149B" w:rsidR="000851EC" w:rsidRP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rPr>
        <w:t>Yogyakarta, Indonesia</w:t>
      </w:r>
    </w:p>
    <w:p w14:paraId="49ECC75C" w14:textId="7F3DB899" w:rsidR="00455CC8" w:rsidRPr="00824660" w:rsidRDefault="000851EC" w:rsidP="00824660">
      <w:pPr>
        <w:spacing w:after="0" w:line="240" w:lineRule="auto"/>
        <w:jc w:val="center"/>
        <w:rPr>
          <w:rFonts w:ascii="Palatino Linotype" w:hAnsi="Palatino Linotype"/>
          <w:szCs w:val="22"/>
        </w:rPr>
      </w:pPr>
      <w:r w:rsidRPr="00824660">
        <w:rPr>
          <w:rFonts w:ascii="Palatino Linotype" w:hAnsi="Palatino Linotype"/>
          <w:szCs w:val="22"/>
          <w:vertAlign w:val="superscript"/>
        </w:rPr>
        <w:t>4</w:t>
      </w:r>
      <w:r w:rsidR="002924B2" w:rsidRPr="00824660">
        <w:rPr>
          <w:rFonts w:ascii="Palatino Linotype" w:hAnsi="Palatino Linotype"/>
          <w:szCs w:val="22"/>
        </w:rPr>
        <w:t>Department of Agriculture, University of the Punjab, Lahore, Pakistan</w:t>
      </w:r>
    </w:p>
    <w:p w14:paraId="086870B8" w14:textId="78C11490" w:rsidR="002924B2" w:rsidRPr="00824660" w:rsidRDefault="00CB69B5" w:rsidP="00824660">
      <w:pPr>
        <w:spacing w:after="0" w:line="240" w:lineRule="auto"/>
        <w:jc w:val="center"/>
        <w:rPr>
          <w:rFonts w:ascii="Palatino Linotype" w:hAnsi="Palatino Linotype"/>
          <w:szCs w:val="22"/>
        </w:rPr>
      </w:pPr>
      <w:r w:rsidRPr="00824660">
        <w:rPr>
          <w:rFonts w:ascii="Palatino Linotype" w:hAnsi="Palatino Linotype"/>
          <w:szCs w:val="22"/>
        </w:rPr>
        <w:t xml:space="preserve">*Corresponding author: </w:t>
      </w:r>
      <w:hyperlink r:id="rId8" w:history="1">
        <w:r w:rsidRPr="00824660">
          <w:rPr>
            <w:rStyle w:val="Hyperlink"/>
            <w:rFonts w:ascii="Palatino Linotype" w:hAnsi="Palatino Linotype"/>
            <w:szCs w:val="22"/>
          </w:rPr>
          <w:t>alwanihamad@ump.ac.id</w:t>
        </w:r>
      </w:hyperlink>
    </w:p>
    <w:p w14:paraId="7167B012" w14:textId="77777777" w:rsidR="00CB69B5" w:rsidRPr="00824660" w:rsidRDefault="00CB69B5" w:rsidP="00824660">
      <w:pPr>
        <w:spacing w:after="0" w:line="240" w:lineRule="auto"/>
        <w:jc w:val="both"/>
        <w:rPr>
          <w:rFonts w:ascii="Palatino Linotype" w:hAnsi="Palatino Linotype"/>
          <w:szCs w:val="22"/>
        </w:rPr>
      </w:pPr>
    </w:p>
    <w:p w14:paraId="5BA97702" w14:textId="40702B57" w:rsidR="00C46FA5" w:rsidRPr="00824660" w:rsidRDefault="00824660" w:rsidP="00824660">
      <w:pPr>
        <w:spacing w:after="0" w:line="240" w:lineRule="auto"/>
        <w:jc w:val="center"/>
        <w:rPr>
          <w:rFonts w:ascii="Palatino Linotype" w:hAnsi="Palatino Linotype"/>
          <w:b/>
          <w:bCs/>
          <w:szCs w:val="22"/>
        </w:rPr>
      </w:pPr>
      <w:r w:rsidRPr="00824660">
        <w:rPr>
          <w:rFonts w:ascii="Palatino Linotype" w:hAnsi="Palatino Linotype"/>
          <w:b/>
          <w:bCs/>
          <w:szCs w:val="22"/>
        </w:rPr>
        <w:t>Abstract</w:t>
      </w:r>
    </w:p>
    <w:p w14:paraId="375E5E81" w14:textId="6412536A" w:rsidR="002924B2" w:rsidRDefault="007A1605" w:rsidP="00824660">
      <w:pPr>
        <w:spacing w:after="0" w:line="240" w:lineRule="auto"/>
        <w:jc w:val="both"/>
        <w:rPr>
          <w:rFonts w:ascii="Palatino Linotype" w:hAnsi="Palatino Linotype"/>
          <w:szCs w:val="22"/>
        </w:rPr>
      </w:pPr>
      <w:r w:rsidRPr="007A1605">
        <w:rPr>
          <w:rFonts w:ascii="Palatino Linotype" w:hAnsi="Palatino Linotype"/>
          <w:szCs w:val="22"/>
        </w:rPr>
        <w:t xml:space="preserve">Encapsulating lipophilic curcumin improves digestibility and bioavailability. Loading efficiency and droplet size are crucial when encapsulating curcumin into emulsion-based delivery systems. Since the thickness of the emulsifier layer is comparable to that of the radius of the oil droplet, one can deduce that the emulsifier layer is the primary component of the droplet's overall composition. Because the oil droplet radius matches the emulsifier layer thickness. </w:t>
      </w:r>
      <w:proofErr w:type="spellStart"/>
      <w:r w:rsidRPr="007A1605">
        <w:rPr>
          <w:rFonts w:ascii="Palatino Linotype" w:hAnsi="Palatino Linotype"/>
          <w:szCs w:val="22"/>
        </w:rPr>
        <w:t>Nanoemulsion</w:t>
      </w:r>
      <w:proofErr w:type="spellEnd"/>
      <w:r w:rsidRPr="007A1605">
        <w:rPr>
          <w:rFonts w:ascii="Palatino Linotype" w:hAnsi="Palatino Linotype"/>
          <w:szCs w:val="22"/>
        </w:rPr>
        <w:t xml:space="preserve"> (NE) is ideal for encapsulating, protecting, and delivering lipophilic nutraceuticals for food and food-related applications. Conventional emulsion has several-micrometer droplets. Chitosan-coated NE can deliver lipophilic bioactive substances. This is because it will better protect the core material. Phase separation was observed in the NE emulsion sample after it had been stored for three months, in contrast to the CNE emulsion sample. Multilayered emulsion is a multistep procedure that consists of emulsion droplets electrostatically stabilized by layers of alternatively charged emulsifiers</w:t>
      </w:r>
      <w:r w:rsidR="006B0E08">
        <w:rPr>
          <w:rFonts w:ascii="Palatino Linotype" w:hAnsi="Palatino Linotype"/>
          <w:szCs w:val="22"/>
        </w:rPr>
        <w:t xml:space="preserve"> and chitosan</w:t>
      </w:r>
      <w:r w:rsidRPr="007A1605">
        <w:rPr>
          <w:rFonts w:ascii="Palatino Linotype" w:hAnsi="Palatino Linotype"/>
          <w:szCs w:val="22"/>
        </w:rPr>
        <w:t xml:space="preserve">. The large surface area of </w:t>
      </w:r>
      <w:proofErr w:type="spellStart"/>
      <w:r w:rsidRPr="007A1605">
        <w:rPr>
          <w:rFonts w:ascii="Palatino Linotype" w:hAnsi="Palatino Linotype"/>
          <w:szCs w:val="22"/>
        </w:rPr>
        <w:t>nanoemulsions</w:t>
      </w:r>
      <w:proofErr w:type="spellEnd"/>
      <w:r w:rsidRPr="007A1605">
        <w:rPr>
          <w:rFonts w:ascii="Palatino Linotype" w:hAnsi="Palatino Linotype"/>
          <w:szCs w:val="22"/>
        </w:rPr>
        <w:t xml:space="preserve"> allows the acceleration of the chemical reactions occurring at the oil-water interface such as hydrolysis by lipases. There was a study that investigated the effect of </w:t>
      </w:r>
      <w:proofErr w:type="spellStart"/>
      <w:r w:rsidRPr="007A1605">
        <w:rPr>
          <w:rFonts w:ascii="Palatino Linotype" w:hAnsi="Palatino Linotype"/>
          <w:szCs w:val="22"/>
        </w:rPr>
        <w:t>nanosystems</w:t>
      </w:r>
      <w:proofErr w:type="spellEnd"/>
      <w:r w:rsidRPr="007A1605">
        <w:rPr>
          <w:rFonts w:ascii="Palatino Linotype" w:hAnsi="Palatino Linotype"/>
          <w:szCs w:val="22"/>
        </w:rPr>
        <w:t xml:space="preserve">' interfacial composition using multilayer chitosan on the stability of curcumin during in vitro digestion, on lipids digestibility, cumin </w:t>
      </w:r>
      <w:proofErr w:type="spellStart"/>
      <w:r w:rsidRPr="007A1605">
        <w:rPr>
          <w:rFonts w:ascii="Palatino Linotype" w:hAnsi="Palatino Linotype"/>
          <w:szCs w:val="22"/>
        </w:rPr>
        <w:t>bioaccessibility</w:t>
      </w:r>
      <w:proofErr w:type="spellEnd"/>
      <w:r w:rsidRPr="007A1605">
        <w:rPr>
          <w:rFonts w:ascii="Palatino Linotype" w:hAnsi="Palatino Linotype"/>
          <w:szCs w:val="22"/>
        </w:rPr>
        <w:t xml:space="preserve"> and antioxidant activity, using a dynamic GI system.</w:t>
      </w:r>
    </w:p>
    <w:p w14:paraId="5204CFEB" w14:textId="1DA94902" w:rsidR="007A1605" w:rsidRDefault="007A1605" w:rsidP="00824660">
      <w:pPr>
        <w:spacing w:after="0" w:line="240" w:lineRule="auto"/>
        <w:jc w:val="both"/>
        <w:rPr>
          <w:rFonts w:ascii="Palatino Linotype" w:hAnsi="Palatino Linotype"/>
          <w:szCs w:val="22"/>
        </w:rPr>
      </w:pPr>
    </w:p>
    <w:p w14:paraId="62DDE8C0" w14:textId="0CA9EE48" w:rsidR="000851EC" w:rsidRPr="00824660" w:rsidRDefault="00824660" w:rsidP="00824660">
      <w:pPr>
        <w:spacing w:after="0" w:line="240" w:lineRule="auto"/>
        <w:jc w:val="both"/>
        <w:rPr>
          <w:rFonts w:ascii="Palatino Linotype" w:hAnsi="Palatino Linotype"/>
          <w:b/>
          <w:bCs/>
          <w:sz w:val="24"/>
          <w:szCs w:val="24"/>
        </w:rPr>
      </w:pPr>
      <w:r w:rsidRPr="00824660">
        <w:rPr>
          <w:rFonts w:ascii="Palatino Linotype" w:hAnsi="Palatino Linotype"/>
          <w:b/>
          <w:bCs/>
          <w:sz w:val="24"/>
          <w:szCs w:val="24"/>
        </w:rPr>
        <w:t>INTRODUCTION</w:t>
      </w:r>
    </w:p>
    <w:p w14:paraId="625BAC02" w14:textId="620FDACF" w:rsidR="00B1356F" w:rsidRPr="00824660" w:rsidRDefault="002B27CA"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The polyphenol known as curcumin has been shown to improve a person's health in </w:t>
      </w:r>
      <w:proofErr w:type="gramStart"/>
      <w:r w:rsidRPr="00824660">
        <w:rPr>
          <w:rFonts w:ascii="Palatino Linotype" w:hAnsi="Palatino Linotype"/>
          <w:sz w:val="24"/>
          <w:szCs w:val="24"/>
        </w:rPr>
        <w:t>a number of</w:t>
      </w:r>
      <w:proofErr w:type="gramEnd"/>
      <w:r w:rsidRPr="00824660">
        <w:rPr>
          <w:rFonts w:ascii="Palatino Linotype" w:hAnsi="Palatino Linotype"/>
          <w:sz w:val="24"/>
          <w:szCs w:val="24"/>
        </w:rPr>
        <w:t xml:space="preserve"> important ways. It has already been established that curcumin possesses a wide variety of biological actions, such as anti-inflammatory, anti-cancer, and </w:t>
      </w:r>
      <w:r w:rsidRPr="00824660">
        <w:rPr>
          <w:rFonts w:ascii="Palatino Linotype" w:hAnsi="Palatino Linotype"/>
          <w:sz w:val="24"/>
          <w:szCs w:val="24"/>
        </w:rPr>
        <w:lastRenderedPageBreak/>
        <w:t>antioxidant properties</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{"citationItems":[{"id":"ITEM-1","itemData":{"DOI":"10.3390/nu10101553","ISSN":"2072-6643","PMID":"30347782","abstract":"Curcumin is a principal curcuminoid of turmeric (Curcuma longa), which is commonly used as a spice in cooking and a yellow pigment in the food processing industry. Recent studies have demonstrated that curcumin has a variety of biological activities and pharmacological performances, providing protection and promotion of human health. In addition to presenting an overview of the gut metabolism of curcumin, this paper reviews the current research progress on its versatile bioactivity, such as antioxidant, anti-inflammatory, and immune-regulatory activities, and also intensively discusses its health benefits, including the protective or preventive effects on cancers and diabetes, as well as the liver, nervous system, and cardiovascular systems, highlighting the potential molecular mechanisms. Besides, the beneficial effects of curcumin on human are further stated based on clinical trials. Considering that there is still a debate on the beneficial effects of curcumin, we also discuss related challenges and prospects. Overall, curcumin is a promising ingredient of novel functional foods, with protective efficacy in preventing certain diseases. We hope this comprehensive and updated review will be helpful for promoting human-based studies to facilitate its use in human health and diseases in the future.","author":[{"dropping-particle":"","family":"Xu","given":"Xiao-Yu","non-dropping-particle":"","parse-names":false,"suffix":""},{"dropping-particle":"","family":"Meng","given":"Xiao","non-dropping-particle":"","parse-names":false,"suffix":""},{"dropping-particle":"","family":"Li","given":"Sha","non-dropping-particle":"","parse-names":false,"suffix":""},{"dropping-particle":"","family":"Gan","given":"Ren-You","non-dropping-particle":"","parse-names":false,"suffix":""},{"dropping-particle":"","family":"Li","given":"Ya","non-dropping-particle":"","parse-names":false,"suffix":""},{"dropping-particle":"","family":"Li","given":"Hua-Bin","non-dropping-particle":"","parse-names":false,"suffix":""}],"container-title":"Nutrients","id":"ITEM-1","issued":{"date-parts":[["2018"]]},"page":"1553-1586","title":"Bioactivity, Health Benefits, and Related Molecular Mechanisms of Curcumin: Current Progress, Challenges, and Perspectives.","type":"article-journal","volume":"10"},"uris":["http://www.mendeley.com/documents/?uuid=a0cf891f-765d-4cd3-b220-c2dd0cb9b2a8"]},{"id":"ITEM-2","itemData":{"DOI":"10.1080/10408398.2015.1077195","ISSN":"15497852","abstract":"Turmeric (Curcuma longa) is a type of herb belonging to ginger family, which is widely grown in southern and south western tropical Asia region. Turmeric, which has an importance place in the cuisines of Iran, Malesia, India, China, Polynesia, and Thailand, is often used as spice and has an effect on the nature, color, and taste of foods. Turmeric is also known to have been used for centuries in India and China for the medical treatments of illnesses such as dermatologic diseases, infection, stress, and depression. Turmeric's effects on health are generally centered upon an orange-yellow colored, lipophilic polyphenol substance called “curcumin,” which is acquired from the rhizomes of the herb. Curcumin is known recently to have antioxidant, anti-inflammatory, anticancer effects and, thanks to these effects, to have an important role in prevention and treatment of various illnesses ranging notably from cancer to autoimmune, neurological, cardiovascular diseases, and diabetic. Furthermore, it is aimed to increase the biological activity and physiological effects of the curcumin on the body by synthesizing curcumin analogues. This article reviews the history, chemical and physical features, analogues, metabolites, mechanisms of its physiological activities, and effects on health of curcumin.","author":[{"dropping-particle":"","family":"Kocaadam","given":"Betül","non-dropping-particle":"","parse-names":false,"suffix":""},{"dropping-particle":"","family":"Şanlier","given":"Nevin","non-dropping-particle":"","parse-names":false,"suffix":""}],"container-title":"Critical Reviews in Food Science and Nutrition","id":"ITEM-2","issue":"13","issued":{"date-parts":[["2017"]]},"page":"2889-2895","title":"Curcumin, an active component of turmeric (Curcuma longa), and its effects on health","type":"article-journal","volume":"57"},"uris":["http://www.mendeley.com/documents/?uuid=3106e5e0-7ccf-494b-bbc5-6d579df62f15"]}],"mendeley":{"formattedCitation":"(Kocaadam and Şanlier, 2017; Xu &lt;i&gt;et al.&lt;/i&gt;, 2018)","plainTextFormattedCitation":"(Kocaadam and Şanlier, 2017; Xu et al., 2018)","previouslyFormattedCitation":"(Kocaadam and Şanlier, 2017; Xu &lt;i&gt;et al.&lt;/i&gt;,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(Kocaadam and Şanlier, 2017; Xu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2018)</w:t>
      </w:r>
      <w:r w:rsidR="00824660">
        <w:rPr>
          <w:rFonts w:ascii="Palatino Linotype" w:hAnsi="Palatino Linotype"/>
          <w:sz w:val="24"/>
          <w:szCs w:val="24"/>
        </w:rPr>
        <w:fldChar w:fldCharType="end"/>
      </w:r>
      <w:r w:rsidRPr="00824660">
        <w:rPr>
          <w:rFonts w:ascii="Palatino Linotype" w:hAnsi="Palatino Linotype"/>
          <w:sz w:val="24"/>
          <w:szCs w:val="24"/>
        </w:rPr>
        <w:t>. This is one of the many biological actions that have been attributed to curcumin. It was determined that this molecule has the potential to be included in food systems as a functional food due to the significant biological activities that it demonstrates. This conclusion was reached as a result of the fact that this molecule demonstrates these biological activities</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{"citationItems":[{"id":"ITEM-1","itemData":{"DOI":"10.1016/j.jtcme.2016.05.005","ISBN":"2225-4110","ISSN":"22254110","PMID":"28417091","abstract":"In recent years, several drugs have been developed deriving from traditional products and current drug research is actively investigating the possible therapeutic roles of many Ayruvedic and Traditional Indian medicinal therapies. Among those being investigated is Turmeric. Its most important active ingredient is curcuminoids. Curcuminoids are phenolic compounds commonly used as a spice, pigment and additive also utilized as a therapeutic agent used in several foods. Comprehensive research over the last century has revealed several important functions of curcuminoids. Various preclinical cell culture and animals studies suggest that curcuminoids have extensive biological activity as an antioxidant, neuroprotective, antitumor, anti-inflammatory, anti-acidogenic, radioprotective and arthritis. Different clinical trials also suggest a potential therapeutic role for curcuminoids in numerous chronic diseases such as colon cancer, lung cancer, breast cancer, inflammatory bowel diseases. The aim of this review is to summarize the chemistry, analog, metal complex, formulations of curcuminoids and their biological activities.","author":[{"dropping-particle":"","family":"Amalraj","given":"Augustine","non-dropping-particle":"","parse-names":false,"suffix":""},{"dropping-particle":"","family":"Pius","given":"Anitha","non-dropping-particle":"","parse-names":false,"suffix":""},{"dropping-particle":"","family":"Gopi","given":"Sreerag","non-dropping-particle":"","parse-names":false,"suffix":""},{"dropping-particle":"","family":"Gopi","given":"Sreeraj","non-dropping-particle":"","parse-names":false,"suffix":""}],"container-title":"Journal of Traditional and Complementary Medicine","id":"ITEM-1","issue":"2","issued":{"date-parts":[["2017"]]},"page":"205-233","publisher":"Elsevier Ltd","title":"Biological activities of curcuminoids, other biomolecules from turmeric and their derivatives – A review","type":"article-journal","volume":"7"},"uris":["http://www.mendeley.com/documents/?uuid=7f953692-577c-4858-ac1b-7bb81b4c7429"]},{"id":"ITEM-2","itemData":{"DOI":"10.1016/j.bcp.2007.08.016","ISBN":"1873-2968 (Electronic) 0006-2952 (Linking)","ISSN":"00062952","PMID":"17900536","abstract":"Although turmeric (Curcuma longa; an Indian spice) has been described in Ayurveda, as a treatment for inflammatory diseases and is referred by different names in different cultures, the active principle called curcumin or diferuloylmethane, a yellow pigment present in turmeric (curry powder) has been shown to exhibit numerous activities. Extensive research over the last half century has revealed several important functions of curcumin. It binds to a variety of proteins and inhibits the activity of various kinases. By modulating the activation of various transcription factors, curcumin regulates the expression of inflammatory enzymes, cytokines, adhesion molecules, and cell survival proteins. Curcumin also downregulates cyclin D1, cyclin E and MDM2; and upregulates p21, p27, and p53. Various preclinical cell culture and animal studies suggest that curcumin has potential as an antiproliferative, anti-invasive, and antiangiogenic agent; as a mediator of chemoresistance and radioresistance; as a chemopreventive agent; and as a therapeutic agent in wound healing, diabetes, Alzheimer disease, Parkinson disease, cardiovascular disease, pulmonary disease, and arthritis. Pilot phase I clinical trials have shown curcumin to be safe even when consumed at a daily dose of 12 g for 3 months. Other clinical trials suggest a potential therapeutic role for curcumin in diseases such as familial adenomatous polyposis, inflammatory bowel disease, ulcerative colitis, colon cancer, pancreatic cancer, hypercholesteremia, atherosclerosis, pancreatitis, psoriasis, chronic anterior uveitis and arthritis. Thus, curcumin, a spice once relegated to the kitchen shelf, has moved into the clinic and may prove to be \"Curecumin\". © 2007.","author":[{"dropping-particle":"","family":"Goel","given":"Ajay","non-dropping-particle":"","parse-names":false,"suffix":""},{"dropping-particle":"","family":"Kunnumakkara","given":"Ajaikumar B.","non-dropping-particle":"","parse-names":false,"suffix":""},{"dropping-particle":"","family":"Aggarwal","given":"Bharat B.","non-dropping-particle":"","parse-names":false,"suffix":""}],"container-title":"Biochemical Pharmacology","id":"ITEM-2","issue":"4","issued":{"date-parts":[["2008"]]},"page":"787-809","title":"Curcumin as \"Curecumin\": From kitchen to clinic","type":"article-journal","volume":"75"},"uris":["http://www.mendeley.com/documents/?uuid=6dab68bc-7524-411c-b997-d5ae122f3b27"]}],"mendeley":{"formattedCitation":"(Goel, Kunnumakkara and Aggarwal, 2008; Amalraj &lt;i&gt;et al.&lt;/i&gt;, 2017)","plainTextFormattedCitation":"(Goel, Kunnumakkara and Aggarwal, 2008; Amalraj et al., 2017)","previouslyFormattedCitation":"(Goel, Kunnumakkara and Aggarwal, 2008; Amalraj &lt;i&gt;et al.&lt;/i&gt;, 2017)"},"properties":{"noteIndex":0},"schema":"https://github.com/citation-style-language/schema/raw/master/csl-citation.json"}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(Goel, Kunnumakkara and Aggarwal, 2008; Amalraj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2017)</w:t>
      </w:r>
      <w:r w:rsidR="00824660">
        <w:rPr>
          <w:rFonts w:ascii="Palatino Linotype" w:hAnsi="Palatino Linotype"/>
          <w:sz w:val="24"/>
          <w:szCs w:val="24"/>
        </w:rPr>
        <w:fldChar w:fldCharType="end"/>
      </w:r>
      <w:r w:rsidRPr="00824660">
        <w:rPr>
          <w:rFonts w:ascii="Palatino Linotype" w:hAnsi="Palatino Linotype"/>
          <w:sz w:val="24"/>
          <w:szCs w:val="24"/>
        </w:rPr>
        <w:t>. The application into functional foods, on the other hand, faces many challenges, including low solubility and a high rate of metabolic breakdown during digestion in the gastro-intestinal tract</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{"citationItems":[{"id":"ITEM-1","itemData":{"DOI":"10.1016/j.foodres.2020.109035","ISSN":"18737145","PMID":"32331634","abstract":"Curcumin is widely acknowledged for its beneficial activities. However, its application has remained challenging due to its low aqueous solubility, biochemical/structural degradation and poor bioavailability. For these reasons, many researches are aimed at overcoming these limitations using lipid-based nanosystems to encapsulate curcumin, especially nanoemulsions. This review highlights the theoretical aspects and recent advances of preparation technologies (phase inversion temperature, phase inversion composition, ultrasonication, high pressure homogenization and microfluidization) for encapsulation of curcumin in nanoemulsions. Additionally, the specific factors in designing nanoemulsions systems that affect the chemical stability and in vitro bioaccessibility of the encapsulated curcumin are discussed. Also, the importance of nanoemulsions in improving antioxidant, anti-inflammatory and anticancer activities of curcumin is underlined. Curcumin-loaded nanoemulsions preparation technologies have been proposed to provide efficient, systematic, and practical protocols for improved applications of curcumin. Additionally, key factors that influence curcumin delivery include the nature of emulsifier, the type and the amount of carrier oil and emulsifier-curcumin interactions. The pharmacological activities of curcumin including antioxidant, anti-inflammatory and anticancer activities can be improved by nanoemulsions.","author":[{"dropping-particle":"","family":"Jiang","given":"Tian","non-dropping-particle":"","parse-names":false,"suffix":""},{"dropping-particle":"","family":"Liao","given":"Wei","non-dropping-particle":"","parse-names":false,"suffix":""},{"dropping-particle":"","family":"Charcosset","given":"Catherine","non-dropping-particle":"","parse-names":false,"suffix":""}],"container-title":"Food Research International","id":"ITEM-1","issue":"October 2019","issued":{"date-parts":[["2020"]]},"page":"109035","publisher":"Elsevier","title":"Recent advances in encapsulation of curcumin in nanoemulsions: A review of encapsulation technologies, bioaccessibility and applications","type":"article-journal","volume":"132"},"uris":["http://www.mendeley.com/documents/?uuid=bda9494e-9d02-4171-a07f-fb93bcc73386"]},{"id":"ITEM-2","itemData":{"DOI":"10.1016/j.foodchem.2011.11.039","ISSN":"0308-8146","author":[{"dropping-particle":"","family":"Ahmed","given":"Kashif","non-dropping-particle":"","parse-names":false,"suffix":""},{"dropping-particle":"","family":"Li","given":"Yan","non-dropping-particle":"","parse-names":false,"suffix":""},{"dropping-particle":"","family":"McClements","given":"David Julian","non-dropping-particle":"","parse-names":false,"suffix":""},{"dropping-particle":"","family":"Xiao","given":"Hang","non-dropping-particle":"","parse-names":false,"suffix":""}],"container-title":"Food Chemistry","id":"ITEM-2","issue":"2","issued":{"date-parts":[["2012"]]},"page":"799-807","publisher":"Elsevier Ltd","title":"Nanoemulsion- and emulsion-based delivery systems for curcumin : Encapsulation and release properties","type":"article-journal","volume":"132"},"uris":["http://www.mendeley.com/documents/?uuid=160c8347-f94b-47dc-a7fa-d4df8590b145"]}],"mendeley":{"formattedCitation":"(Ahmed &lt;i&gt;et al.&lt;/i&gt;, 2012; Jiang, Liao and Charcosset, 2020)","plainTextFormattedCitation":"(Ahmed et al., 2012; Jiang, Liao and Charcosset, 2020)","previouslyFormattedCitation":"(Ahmed &lt;i&gt;et al.&lt;/i&gt;, 2012; Jiang, Liao and Charcosset,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(Ahmed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2012; Jiang, Liao and Charcosset, 2020)</w:t>
      </w:r>
      <w:r w:rsidR="00824660">
        <w:rPr>
          <w:rFonts w:ascii="Palatino Linotype" w:hAnsi="Palatino Linotype"/>
          <w:sz w:val="24"/>
          <w:szCs w:val="24"/>
        </w:rPr>
        <w:fldChar w:fldCharType="end"/>
      </w:r>
      <w:r w:rsidRPr="00824660">
        <w:rPr>
          <w:rFonts w:ascii="Palatino Linotype" w:hAnsi="Palatino Linotype"/>
          <w:sz w:val="24"/>
          <w:szCs w:val="24"/>
        </w:rPr>
        <w:t>.</w:t>
      </w:r>
    </w:p>
    <w:p w14:paraId="71E2C0C2" w14:textId="74414EB7" w:rsidR="00B1356F" w:rsidRDefault="002B27CA"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One of the potential methods for delivering curcumin and improving its stability and release management is encapsulation. Encapsulation is one of the techniques. The delivery of other active ingredients is another potential use for encapsulation</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{"citationItems":[{"id":"ITEM-1","itemData":{"DOI":"10.1111/jfpe.12972","ISSN":"17454530","abstract":"In this work, curcumin was spray-dried (SD) with Aloe vera mucilage as the encapsulating agent giving particular attention to the effect of the relevant process parameters (feed flow rate, atomization speed, and inlet air temperature) on the resulting properties of the SD powders. The powders obtained were analyzed by infrared spectroscopy, scanning electron microscopy, rheology, and release profiles. Results show that the best drying conditions are low SD inlet air temperature (150 °C), low feed flow rate (1.5 L/hr), and high atomization speed (27,500 rpm). These conditions produced particles with smooth morphologies, preserving the total phenolic content (0.0611 μg EAG), with a radical scavenging capacity of 911.48 μmol Trolox/mg. Release profiles revealed an extended release of encapsulated material with a maximum of about 65% at 24 hr for these conditions and point out the suitability of encapsulated systems for potential applications in functional foods, antioxidant systems, pharmaceutical, and organic pigments. Practical applications: This research presents an optimization method to obtain powders of mucilage (Aloe vera, Av)-curcumin (Cu) by spray drying (SD), where the Av was used as wall material to encapsulate Cu and obtain the best process conditions (SD) to produce prolonged delivery systems of antioxidant compounds that can be used in the food and pharmaceutical industry. The encapsulated systems were analyzed by rheological tests and were supported with other characterizations, such as antioxidant capacity, morphology (SEM), chemical (FT-IR), and releasing profiles.","author":[{"dropping-particle":"","family":"Medina-Torres","given":"L.","non-dropping-particle":"","parse-names":false,"suffix":""},{"dropping-particle":"","family":"Núñez-Ramírez","given":"D. M.","non-dropping-particle":"","parse-names":false,"suffix":""},{"dropping-particle":"","family":"Calderas","given":"F.","non-dropping-particle":"","parse-names":false,"suffix":""},{"dropping-particle":"","family":"Bernad-Bernad","given":"M. J.","non-dropping-particle":"","parse-names":false,"suffix":""},{"dropping-particle":"","family":"Gracia-Mora","given":"J.","non-dropping-particle":"","parse-names":false,"suffix":""},{"dropping-particle":"","family":"Rodríguez-Ramírez","given":"J.","non-dropping-particle":"","parse-names":false,"suffix":""},{"dropping-particle":"","family":"González-Laredo","given":"R. F.","non-dropping-particle":"","parse-names":false,"suffix":""},{"dropping-particle":"","family":"Gallegos-Infante","given":"J. A.","non-dropping-particle":"","parse-names":false,"suffix":""},{"dropping-particle":"","family":"Manero","given":"O.","non-dropping-particle":"","parse-names":false,"suffix":""}],"container-title":"Journal of Food Process Engineering","id":"ITEM-1","issue":"2","issued":{"date-parts":[["2019"]]},"page":"1-12","title":"Curcumin encapsulation by spray drying using Aloe vera mucilage as encapsulating agent","type":"article-journal","volume":"42"},"uris":["http://www.mendeley.com/documents/?uuid=98f221d2-5cd0-40a3-9669-82d184d63213"]},{"id":"ITEM-2","itemData":{"DOI":"10.1016/j.foodchem.2017.04.133","ISBN":"0308-8146 (Print) 0308-8146 (Linking)","ISSN":"18737072","PMID":"28530583","abstract":"Novel food-grade hybrid encapsulation structures based on the entrapment of phosphatidylcholine liposomes, within a WPC matrix through electrospraying, were developed and used as delivery vehicles for curcumin. The loading capacity and encapsulation efficiency of the proposed system was studied, and the suitability of the approach to stabilize curcumin and increase its bioaccessibility was assessed. Results showed that the maximum loading capacity of the liposomes was around 1.5% of curcumin, although the loading capacity of the hybrid microencapsulation structures increased with the curcumin content by incorporation of curcumin microcrystals upon electrospraying. Microencapsulation of curcumin within the proposed hybrid structures significantly increased its bioaccessibility (</w:instrText>
      </w:r>
      <w:r w:rsidR="0080269F">
        <w:rPr>
          <w:rFonts w:ascii="Cambria Math" w:hAnsi="Cambria Math" w:cs="Cambria Math"/>
          <w:sz w:val="24"/>
          <w:szCs w:val="24"/>
        </w:rPr>
        <w:instrText>∼</w:instrText>
      </w:r>
      <w:r w:rsidR="0080269F">
        <w:rPr>
          <w:rFonts w:ascii="Palatino Linotype" w:hAnsi="Palatino Linotype"/>
          <w:sz w:val="24"/>
          <w:szCs w:val="24"/>
        </w:rPr>
        <w:instrText>1.7-fold) compared to the free compound, and could successfully stabilize it against degradation in PBS (pH = 7.4). The proposed approach thus proved to be a promising alternative to produce powder-like functional ingredients.","author":[{"dropping-particle":"","family":"Gómez-Mascaraque","given":"Laura G.","non-dropping-particle":"","parse-names":false,"suffix":""},{"dropping-particle":"","family":"Casagrande Sipoli","given":"Caroline","non-dropping-particle":"","parse-names":false,"suffix":""},{"dropping-particle":"","family":"La Torre","given":"Lucimara Gaziola","non-dropping-particle":"de","parse-names":false,"suffix":""},{"dropping-particle":"","family":"López-Rubio","given":"Amparo","non-dropping-particle":"","parse-names":false,"suffix":""}],"container-title":"Food Chemistry","id":"ITEM-2","issued":{"date-parts":[["2017"]]},"page":"343-350","title":"Microencapsulation structures based on protein-coated liposomes obtained through electrospraying for the stabilization and improved bioaccessibility of curcumin","type":"article-journal","volume":"233"},"uris":["http://www.mendeley.com/documents/?uuid=991cb1e3-e1c1-492e-afa0-edfec952ce20"]},{"id":"ITEM-3","itemData":{"DOI":"10.1111/1750-3841.15488","ISSN":"17503841","PMID":"33067839","abstract":"Abstract: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Science","id":"ITEM-3","issue":"11","issued":{"date-parts":[["2020"]]},"page":"3874-3884","title":"A novel approach to develop spray-dried encapsulated curcumin powder from oil-in-water emulsions stabilized by combined surfactants and chitosan","type":"article-journal","volume":"85"},"uris":["http://www.mendeley.com/documents/?uuid=92822abf-eae1-4507-8e74-41bc41b47aec"]}],"mendeley":{"formattedCitation":"(Gómez-Mascaraque &lt;i&gt;et al.&lt;/i&gt;, 2017; Medina-Torres &lt;i&gt;et al.&lt;/i&gt;, 2019; Hamad &lt;i&gt;et al.&lt;/i&gt;, 2020)","plainTextFormattedCitation":"(Gómez-Mascaraque et al., 2017; Medina-Torres et al., 2019; Hamad et al., 2020)","previouslyFormattedCitation":"(Gómez-Mascaraque &lt;i&gt;et al.&lt;/i&gt;, 2017; Medina-Torres &lt;i&gt;et al.&lt;/i&gt;, 2019; Hamad &lt;i&gt;et al.&lt;/i&gt;,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(Gómez-Mascaraque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2017; Medina-Torres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2019;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00824660">
        <w:rPr>
          <w:rFonts w:ascii="Palatino Linotype" w:hAnsi="Palatino Linotype"/>
          <w:sz w:val="24"/>
          <w:szCs w:val="24"/>
        </w:rPr>
        <w:fldChar w:fldCharType="end"/>
      </w:r>
      <w:r w:rsidRPr="00824660">
        <w:rPr>
          <w:rFonts w:ascii="Palatino Linotype" w:hAnsi="Palatino Linotype"/>
          <w:sz w:val="24"/>
          <w:szCs w:val="24"/>
        </w:rPr>
        <w:t xml:space="preserve">. Emulsions are an excellent choice for encapsulating the lipophilic curcumin, which will both increase the compound's durability as well as its bioavailability. Emulsions can be found in a wide variety of food products. Due to the fact that curcumin can be dispersed into lipid phase, the incorporation of curcumin into a lipid-based capsule will not only improve the dispersibility into aqueous phase, but it will also have the ability to control release into the gastro-intestinal tract </w:t>
      </w:r>
      <w:r w:rsidRP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Science","id":"ITEM-1","issue":"11","issued":{"date-parts":[["2020"]]},"page":"3874-3884","title":"A novel approach to develop spray-dried encapsulated curcumin powder from oil-in-water emulsions stabilized by combined surfactants and chitosan","type":"article-journal","volume":"85"},"uris":["http://www.mendeley.com/documents/?uuid=92822abf-eae1-4507-8e74-41bc41b47aec"]},{"id":"ITEM-2","itemData":{"author":[{"dropping-particle":"","family":"Hamad","given":"Alwani","non-dropping-particle":"","parse-names":false,"suffix":""},{"dropping-particle":"","family":"Suriyarak","given":"Sarisa","non-dropping-particle":"","parse-names":false,"suffix":""},{"dropping-particle":"","family":"Boromphichaichartkul","given":"Chaleeda","non-dropping-particle":"","parse-names":false,"suffix":""}],"container-title":"Journal of Food Technology Siam University","id":"ITEM-2","issue":"2","issued":{"date-parts":[["2020"]]},"page":"96-109","title":"Encapsulation of Curcumin by Spray Drying Using the Combination of Tween 80 and Chitosan","type":"article-journal","volume":"15"},"uris":["http://www.mendeley.com/documents/?uuid=4af34ae4-b0a2-4099-915c-be5aff4c9e00"]},{"id":"ITEM-3","itemData":{"DOI":"10.1080/01932691.2016.1227713","ISSN":"15322351","abstract":"The objective of this study was to investigate the effects of environmental stress and emulsifier types on the stability of curcumin emulsions. Results showed that Lecithin and Tween 80 presented good emulsifying capacity. The Tween 80 emulsion was the most stable among the four emulsions. The particle sizes of Tween 80 and whey protein emulsion were relatively smaller than gum arabic and lecithin. Extensive droplet aggregation appeared in whey protein-stabilized emulsions when the pH was approximately isoelectric point (pI) with salt concentration &gt;200 mM. Lecithin emulsion was unstable when pH ≤ 6 with salt concentration &gt;100 mM. There was little impact of pH and ionic strength on gum arabic and Tween 80 emulsions. All of the emulsions were stable at temperatures from 30 to 90°C in the absence of salt. These results help characterize the emulsifying and stabilizing abilities of emulsifier types intended for applications in the food industry. © 2017 Taylor &amp; Francis.","author":[{"dropping-particle":"","family":"Wu","given":"Min Hui","non-dropping-particle":"","parse-names":false,"suffix":""},{"dropping-particle":"","family":"Yan","given":"Hong Hai","non-dropping-particle":"","parse-names":false,"suffix":""},{"dropping-particle":"","family":"Chen","given":"Zhao Qing","non-dropping-particle":"","parse-names":false,"suffix":""},{"dropping-particle":"","family":"He","given":"Mei","non-dropping-particle":"","parse-names":false,"suffix":""}],"container-title":"Journal of Dispersion Science and Technology","id":"ITEM-3","issue":"10","issued":{"date-parts":[["2017"]]},"page":"1375-1380","publisher":"Taylor &amp; Francis","title":"Effects of emulsifier type and environmental stress on the stability of curcumin emulsion","type":"article-journal","volume":"38"},"uris":["http://www.mendeley.com/documents/?uuid=5517901c-c1a9-4084-b93a-9807753d7ac9"]},{"id":"ITEM-4","itemData":{"DOI":"10.1016/j.jcis.2019.09.045","ISSN":"10957103","abstract":"Curcumin is a polyphenolic compound found in turmeric (Curcuma longa) rhizome that has potential biological benefits, including antioxidant, antimicrobial, anti-inflammatory, and anti-cancer activity. Incorporation of curcumin into functional food and beverage products, however, is challenging due to its low water-solubility, poor chemical stability, rapid metabolism, and low oral bioavailability. Researchers are, therefore developing a suite of particle-based delivery systems to maximize the potential health benefits of curcumin. Colloidal delivery systems, such as micelles, microemulsions, nanoemulsions, emulsions, solid lipid nanoparticles, nanostructured lipid carriers, biopolymer nanoparticles, and microgels have all been developed for this purpose. The functional performance of each of these delivery systems depends on its structure and physicochemical properties, such as particle composition, particle size, morphology, physicochemical stability, optical properties, rheology, and sensory attributes. As a result, each delivery system has its advantages and disadvantages for particular applications. Consequently, a delivery system must be specifically designed for the particular bioactive agent to be encapsulated, as well as the particular food matrix it will be incorporated into. In this review, we highlight the potential of the Delivery by Design (DbD) approach for identifying and selecting the most appropriate colloidal delivery system for a particular food application, using curcumin as a model bioactive agent.","author":[{"dropping-particle":"","family":"Kharat","given":"Mahesh","non-dropping-particle":"","parse-names":false,"suffix":""},{"dropping-particle":"","family":"McClements","given":"David Julian","non-dropping-particle":"","parse-names":false,"suffix":""}],"container-title":"Journal of Colloid and Interface Science","id":"ITEM-4","issued":{"date-parts":[["2019"]]},"page":"506-518","publisher":"Elsevier Inc.","title":"Recent advances in colloidal delivery systems for nutraceuticals: A case study – Delivery by Design of curcumin","type":"article-journal","volume":"557"},"uris":["http://www.mendeley.com/documents/?uuid=2f67ec4d-7c7b-49ad-8f45-9241a0007f5c"]}],"mendeley":{"formattedCitation":"(Wu &lt;i&gt;et al.&lt;/i&gt;, 2017; Kharat and McClements, 2019; Hamad &lt;i&gt;et al.&lt;/i&gt;, 2020; Hamad, Suriyarak and Boromphichaichartkul, 2020)","plainTextFormattedCitation":"(Wu et al., 2017; Kharat and McClements, 2019; Hamad et al., 2020; Hamad, Suriyarak and Boromphichaichartkul, 2020)","previouslyFormattedCitation":"(Wu &lt;i&gt;et al.&lt;/i&gt;, 2017; Kharat and McClements, 2019; Hamad &lt;i&gt;et al.&lt;/i&gt;, 2020; Hamad, Suriyarak and Boromphichaichartkul, 2020)"},"properties":{"noteIndex":0},"schema":"https://github.com/citation-style-language/schema/raw/master/csl-citation.json"}</w:instrText>
      </w:r>
      <w:r w:rsidRP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(Wu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2017; Kharat and McClements, 2019;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 Hamad, Suriyarak and Boromphichaichartkul, 2020)</w:t>
      </w:r>
      <w:r w:rsidRPr="00824660">
        <w:rPr>
          <w:rFonts w:ascii="Palatino Linotype" w:hAnsi="Palatino Linotype"/>
          <w:sz w:val="24"/>
          <w:szCs w:val="24"/>
        </w:rPr>
        <w:fldChar w:fldCharType="end"/>
      </w:r>
      <w:r w:rsidRPr="00824660">
        <w:rPr>
          <w:rFonts w:ascii="Palatino Linotype" w:hAnsi="Palatino Linotype"/>
          <w:sz w:val="24"/>
          <w:szCs w:val="24"/>
        </w:rPr>
        <w:t xml:space="preserve">. This will be the case regardless of </w:t>
      </w:r>
      <w:proofErr w:type="gramStart"/>
      <w:r w:rsidRPr="00824660">
        <w:rPr>
          <w:rFonts w:ascii="Palatino Linotype" w:hAnsi="Palatino Linotype"/>
          <w:sz w:val="24"/>
          <w:szCs w:val="24"/>
        </w:rPr>
        <w:t>whether or not</w:t>
      </w:r>
      <w:proofErr w:type="gramEnd"/>
      <w:r w:rsidRPr="00824660">
        <w:rPr>
          <w:rFonts w:ascii="Palatino Linotype" w:hAnsi="Palatino Linotype"/>
          <w:sz w:val="24"/>
          <w:szCs w:val="24"/>
        </w:rPr>
        <w:t xml:space="preserve"> the dispersibility of curcumin is improved into aqueous phase. Emulsion delivery systems commonly known as nano-emulsions are typically the encapsulated form of emulsion delivery systems that are used for curcumin</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chem.2011.11.039","ISSN":"0308-8146","author":[{"dropping-particle":"","family":"Ahmed","given":"Kashif","non-dropping-particle":"","parse-names":false,"suffix":""},{"dropping-particle":"","family":"Li","given":"Yan","non-dropping-particle":"","parse-names":false,"suffix":""},{"dropping-particle":"","family":"McClements","given":"David Julian","non-dropping-particle":"","parse-names":false,"suffix":""},{"dropping-particle":"","family":"Xiao","given":"Hang","non-dropping-particle":"","parse-names":false,"suffix":""}],"container-title":"Food Chemistry","id":"ITEM-1","issue":"2","issued":{"date-parts":[["2012"]]},"page":"799-807","publisher":"Elsevier Ltd","title":"Nanoemulsion- and emulsion-based delivery systems for curcumin : Encapsulation and release properties","type":"article-journal","volume":"132"},"uris":["http://www.mendeley.com/documents/?uuid=160c8347-f94b-47dc-a7fa-d4df8590b145"]}],"mendeley":{"formattedCitation":"(Ahmed &lt;i&gt;et al.&lt;/i&gt;, 2012)","plainTextFormattedCitation":"(Ahmed et al., 2012)","previouslyFormattedCitation":"(Ahmed &lt;i&gt;et al.&lt;/i&gt;, 2012)"},"properties":{"noteIndex":0},"schema":"https://github.com/citation-style-language/schema/raw/master/csl-citation.json"}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(Ahmed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2012)</w:t>
      </w:r>
      <w:r w:rsidR="00824660">
        <w:rPr>
          <w:rFonts w:ascii="Palatino Linotype" w:hAnsi="Palatino Linotype"/>
          <w:sz w:val="24"/>
          <w:szCs w:val="24"/>
        </w:rPr>
        <w:fldChar w:fldCharType="end"/>
      </w:r>
      <w:r w:rsidRPr="00824660">
        <w:rPr>
          <w:rFonts w:ascii="Palatino Linotype" w:hAnsi="Palatino Linotype"/>
          <w:sz w:val="24"/>
          <w:szCs w:val="24"/>
        </w:rPr>
        <w:t>. Combining an emulsion with a covering made of biopolymer was yet another approach that was taken into consideration for improving curcumin's level of protection. Chitosan is a type of biopolymer that is cationic and has properties that make it friendly and biodegradable. Chitosan also has properties that make it a biodegradable material. It was discovered that using chitosan as an encapsulating agent could not only increase the stability of curcumin but also limit its release as it traveled through the gastrointestinal tract</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{"citationItems":[{"id":"ITEM-1","itemData":{"DOI":"10.1016/j.colsurfb.2017.11.047","ISBN":"1873-4367 (Electronic) 0927-7765 (Linking)","ISSN":"18734367","PMID":"29183647","abstract":"Liposomes are considered a major route for encapsulation of hydrophilic and hydrophobic molecules. Chitosan coated liposomes could represent an alternative way as a carrier for delivery of drugs in human body. In this study the preparation and applicability of chitosan-coated liposomes containing curcumin as well as curcumin loaded anionic liposomes were evaluated. The applicability of the carriers was tested by means of an in-vitro digestion procedure allowing for measurement of the bioaccessibility of ingested curcumin. Values of diameter, polydispersity index and surface charge for curcumin loaded anionic liposomes obtained through dynamic light scattering and ζ-potential measurements were 129 nm, 0.095 and −49 mV, respectively. After chitosan-coating, diameter and polydispersity index remain unvaried while the surface charge gets positive. Slightly higher curcumin concentrations were found after the mouth and the stomach digestion phases when curcumin was loaded in anionic liposomes. On the contrary, after the intestinal phase, a higher percentage of curcumin was found when chitosan-coated liposomes were used as carrier, both in the raw digesta and in the bile salt micellar phase. It was shown that the presence of a positively charged surface allows a better absorption of curcumin in the small intestine phase, which increases the overall curcumin bioavailability. The mechanism behind these results can be understood from the composition of the different environments generated by the digestive fluids that differently interact with anionic or cationic surfaces.","author":[{"dropping-particle":"","family":"Cuomo","given":"Francesca","non-dropping-particle":"","parse-names":false,"suffix":""},{"dropping-particle":"","family":"Cofelice","given":"Martina","non-dropping-particle":"","parse-names":false,"suffix":""},{"dropping-particle":"","family":"Venditti","given":"Francesco","non-dropping-particle":"","parse-names":false,"suffix":""},{"dropping-particle":"","family":"Ceglie","given":"Andrea","non-dropping-particle":"","parse-names":false,"suffix":""},{"dropping-particle":"","family":"Miguel","given":"Maria","non-dropping-particle":"","parse-names":false,"suffix":""},{"dropping-particle":"","family":"Lindman","given":"Björn","non-dropping-particle":"","parse-names":false,"suffix":""},{"dropping-particle":"","family":"Lopez","given":"Francesco","non-dropping-particle":"","parse-names":false,"suffix":""}],"container-title":"Colloids and Surfaces B: Biointerfaces","id":"ITEM-1","issued":{"date-parts":[["2018"]]},"page":"29-34","publisher":"Elsevier B.V.","title":"In-vitro digestion of curcumin loaded chitosan-coated liposomes","type":"article-journal","volume":"168"},"uris":["http://www.mendeley.com/documents/?uuid=0e234989-cdd2-40a7-950c-e7e2b6615e0d"]},{"id":"ITEM-2","itemData":{"DOI":"10.1016/j.foodhyd.2016.03.016","ISBN":"8229535892","ISSN":"0268005X","abstract":"Nano-emulsion (NE) composed of MCT oil, Tween 80 and lecithin was fabricated by ultrasonication method to encapsulate curcumin. Loading ability and efficiency of curcumin were 0.548 mg/mL and 95.10% respectively which indicated its water dispersibility was increased by 1400 fold. Chitosan with low, middle and high molecular weight (3 kDa, 30 kDa and 190-310 kDa respectively) was applied for coating the prepared NE. After chitosan coating, zeta potential value of NE was changed from negative to positive. At the same time, chitosan coating prevented NE phase separation in ionic strength test and inhibited degradation of curcumin during thermal and UV irradiation treatment. Using pH-stat method, it was found that middle and high molecular weight chitosan coating may interfere with lipolysis of NE during the in vitro digestion which also slightly decreased curcumin bio-accessibility. Therefore, NE coated with chitosan is a promising delivery system to promote the applications of curcumin in functional food and beverage system.","author":[{"dropping-particle":"","family":"Li","given":"Jinglei","non-dropping-particle":"","parse-names":false,"suffix":""},{"dropping-particle":"","family":"Hwang","given":"In Cheon","non-dropping-particle":"","parse-names":false,"suffix":""},{"dropping-particle":"","family":"Chen","given":"Xiguang","non-dropping-particle":"","parse-names":false,"suffix":""},{"dropping-particle":"","family":"Park","given":"Hyun Jin","non-dropping-particle":"","parse-names":false,"suffix":""}],"container-title":"Food Hydrocolloids","id":"ITEM-2","issued":{"date-parts":[["2016"]]},"page":"138-147","publisher":"Elsevier Ltd","title":"Effects of chitosan coating on curcumin loaded nano-emulsion: Study on stability and in vitro digestibility","type":"article-journal","volume":"60"},"uris":["http://www.mendeley.com/documents/?uuid=d28d2d38-a751-4fd0-83bc-f853f644f967"]},{"id":"ITEM-3","itemData":{"DOI":"10.1016/j.ijbiomac.2017.03.114","ISBN":"0141-8130","ISSN":"18790003","abstract":"The present study was aimed at investigating the efficacy of chitosan as a wall material for microencapsulation of squalene by spray drying for functional food applications. Based on different core to wall material ratio (1:1, 0.5:1 and 0.3:1 on w/w basis), emulsions were prepared and evaluated in terms of emulsion stability, particle size, zeta potential, polydispersity Index (PDI), rheology and microstructure. The optimized emulsion combination was spray dried and characterized, physically and chemically. The encapsulation efficiency of the powder was found to be 26 ± 0.6% whereas other properties such as particle size, zeta potential, water activity, hygroscopicity, Carr Index, Hausner ratio have shown satisfactory results. SEM analysis showed that the squalene microcapsules were smooth spherical particles free from dents and fissures. FTIR data further confirmed the encapsulation of squalene with chitosan. However, TGA, oxidative stability and accelerated Rancimat results showed that chitosan was not able to protect squalene from oxidation during storage. The results suggest that chitosan is not an appropriate wall material for microencapsulation of squalene and hence a combination of wall materials could be attempted for the encapsulation of squalene.","author":[{"dropping-particle":"","family":"Kumar","given":"Leksmi R.G.","non-dropping-particle":"","parse-names":false,"suffix":""},{"dropping-particle":"","family":"Chatterjee","given":"N. S.","non-dropping-particle":"","parse-names":false,"suffix":""},{"dropping-particle":"","family":"Tejpal","given":"C. S.","non-dropping-particle":"","parse-names":false,"suffix":""},{"dropping-particle":"V.","family":"Vishnu","given":"K.","non-dropping-particle":"","parse-names":false,"suffix":""},{"dropping-particle":"","family":"Anas","given":"K. K.","non-dropping-particle":"","parse-names":false,"suffix":""},{"dropping-particle":"","family":"Asha","given":"K. K.","non-dropping-particle":"","parse-names":false,"suffix":""},{"dropping-particle":"","family":"Anandan","given":"R.","non-dropping-particle":"","parse-names":false,"suffix":""},{"dropping-particle":"","family":"Mathew","given":"Suseela","non-dropping-particle":"","parse-names":false,"suffix":""}],"container-title":"International Journal of Biological Macromolecules","id":"ITEM-3","issued":{"date-parts":[["2017"]]},"page":"1986-1995","publisher":"Elsevier B.V.","title":"Evaluation of chitosan as a wall material for microencapsulation of squalene by spray drying: Characterization and oxidative stability studies","type":"article-journal","volume":"104"},"uris":["http://www.mendeley.com/documents/?uuid=92542350-0241-44ec-9253-18b7efd5668a"]},{"id":"ITEM-4","itemData":{"DOI":"10.1111/1750-3841.15488","ISSN":"17503841","PMID":"33067839","abstract":"Abstract: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Science","id":"ITEM-4","issue":"11","issued":{"date-parts":[["2020"]]},"page":"3874-3884","title":"A novel approach to develop spray-dried encapsulated curcumin powder from oil-in-water emulsions stabilized by combined surfactants and chitosan","type":"article-journal","volume":"85"},"uris":["http://www.mendeley.com/documents/?uuid=92822abf-eae1-4507-8e74-41bc41b47aec"]}],"mendeley":{"formattedCitation":"(Li &lt;i&gt;et al.&lt;/i&gt;, 2016; Kumar &lt;i&gt;et al.&lt;/i&gt;, 2017; Cuomo &lt;i&gt;et al.&lt;/i&gt;, 2018; Hamad &lt;i&gt;et al.&lt;/i&gt;, 2020)","plainTextFormattedCitation":"(Li et al., 2016; Kumar et al., 2017; Cuomo et al., 2018; Hamad et al., 2020)","previouslyFormattedCitation":"(Li &lt;i&gt;et al.&lt;/i&gt;, 2016; Kumar &lt;i&gt;et al.&lt;/i&gt;, 2017; Cuomo &lt;i&gt;et al.&lt;/i&gt;, 2018; Hamad &lt;i&gt;et al.&lt;/i&gt;,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(Li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2016; Kumar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2017; Cuomo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2018;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00824660">
        <w:rPr>
          <w:rFonts w:ascii="Palatino Linotype" w:hAnsi="Palatino Linotype"/>
          <w:sz w:val="24"/>
          <w:szCs w:val="24"/>
        </w:rPr>
        <w:fldChar w:fldCharType="end"/>
      </w:r>
      <w:r w:rsidRPr="00824660">
        <w:rPr>
          <w:rFonts w:ascii="Palatino Linotype" w:hAnsi="Palatino Linotype"/>
          <w:sz w:val="24"/>
          <w:szCs w:val="24"/>
        </w:rPr>
        <w:t xml:space="preserve">. This was one of the findings. In this article, we will talk about how chitosan can be used as a coating material in </w:t>
      </w:r>
      <w:proofErr w:type="spellStart"/>
      <w:r w:rsidRPr="00824660">
        <w:rPr>
          <w:rFonts w:ascii="Palatino Linotype" w:hAnsi="Palatino Linotype"/>
          <w:sz w:val="24"/>
          <w:szCs w:val="24"/>
        </w:rPr>
        <w:t>nanoemulsion</w:t>
      </w:r>
      <w:proofErr w:type="spellEnd"/>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{"citationItems":[{"id":"ITEM-1","itemData":{"DOI":"10.1016/j.foodhyd.2016.03.016","ISBN":"8229535892","ISSN":"0268005X","abstract":"Nano-emulsion (NE) composed of MCT oil, Tween 80 and lecithin was fabricated by ultrasonication method to encapsulate curcumin. Loading ability and efficiency of curcumin were 0.548 mg/mL and 95.10% respectively which indicated its water dispersibility was increased by 1400 fold. Chitosan with low, middle and high molecular weight (3 kDa, 30 kDa and 190-310 kDa respectively) was applied for coating the prepared NE. After chitosan coating, zeta potential value of NE was changed from negative to positive. At the same time, chitosan coating prevented NE phase separation in ionic strength test and inhibited degradation of curcumin during thermal and UV irradiation treatment. Using pH-stat method, it was found that middle and high molecular weight chitosan coating may interfere with lipolysis of NE during the in vitro digestion which also slightly decreased curcumin bio-accessibility. Therefore, NE coated with chitosan is a promising delivery system to promote the applications of curcumin in functional food and beverage system.","author":[{"dropping-particle":"","family":"Li","given":"Jinglei","non-dropping-particle":"","parse-names":false,"suffix":""},{"dropping-particle":"","family":"Hwang","given":"In Cheon","non-dropping-particle":"","parse-names":false,"suffix":""},{"dropping-particle":"","family":"Chen","given":"Xiguang","non-dropping-particle":"","parse-names":false,"suffix":""},{"dropping-particle":"","family":"Park","given":"Hyun Jin","non-dropping-particle":"","parse-names":false,"suffix":""}],"container-title":"Food Hydrocolloids","id":"ITEM-1","issued":{"date-parts":[["2016"]]},"page":"138-147","publisher":"Elsevier Ltd","title":"Effects of chitosan coating on curcumin loaded nano-emulsion: Study on stability and in vitro digestibility","type":"article-journal","volume":"60"},"uris":["http://www.mendeley.com/documents/?uuid=d28d2d38-a751-4fd0-83bc-f853f644f967"]},{"id":"ITEM-2","itemData":{"DOI":"10.1016/j.cis.2017.12.001","ISSN":"00018686","abstract":"The formation, stability, and performance of oil-in-water emulsions may be improved by using combinations of two or more different emulsifiers, rather than an individual type. This article provides a review of the physicochemical basis for the ability of mixed emulsifiers to enhance emulsion properties. Initially, an overview of the most important physicochemical properties of emulsifiers is given, and then the nature of emulsifier interactions in solution and at interfaces is discussed. The impact of using mixed emulsifiers on the formation and stability of emulsions is then reviewed. Finally, the impact of using mixed emulsifiers on the functional performance of emulsifiers is given, including gastrointestinal fate, oxidative stability, antimicrobial activity, and release characteristics. This information should facilitate the selection of combinations of emulsifiers that will have improved performance in emulsion-based products.","author":[{"dropping-particle":"","family":"McClements","given":"David Julian","non-dropping-particle":"","parse-names":false,"suffix":""},{"dropping-particle":"","family":"Jafari","given":"Seid Mahdi","non-dropping-particle":"","parse-names":false,"suffix":""}],"container-title":"Advances in Colloid and Interface Science","id":"ITEM-2","issued":{"date-parts":[["2018"]]},"page":"55-79","publisher":"Elsevier B.V.","title":"Improving emulsion formation, stability and performance using mixed emulsifiers: A review","type":"article-journal","volume":"251"},"uris":["http://www.mendeley.com/documents/?uuid=9bbbc89f-d650-468d-b5f1-3f677523c26d"]}],"mendeley":{"formattedCitation":"(Li &lt;i&gt;et al.&lt;/i&gt;, 2016; McClements and Jafari, 2018)","plainTextFormattedCitation":"(Li et al., 2016; McClements and Jafari, 2018)","previouslyFormattedCitation":"(Li &lt;i&gt;et al.&lt;/i&gt;, 2016; McClements and Jafari,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(Li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2016; McClements and Jafari, 2018)</w:t>
      </w:r>
      <w:r w:rsidR="00824660">
        <w:rPr>
          <w:rFonts w:ascii="Palatino Linotype" w:hAnsi="Palatino Linotype"/>
          <w:sz w:val="24"/>
          <w:szCs w:val="24"/>
        </w:rPr>
        <w:fldChar w:fldCharType="end"/>
      </w:r>
      <w:r w:rsidRPr="00824660">
        <w:rPr>
          <w:rFonts w:ascii="Palatino Linotype" w:hAnsi="Palatino Linotype"/>
          <w:sz w:val="24"/>
          <w:szCs w:val="24"/>
        </w:rPr>
        <w:t xml:space="preserve"> and multilayer </w:t>
      </w:r>
      <w:proofErr w:type="spellStart"/>
      <w:r w:rsidRPr="00824660">
        <w:rPr>
          <w:rFonts w:ascii="Palatino Linotype" w:hAnsi="Palatino Linotype"/>
          <w:sz w:val="24"/>
          <w:szCs w:val="24"/>
        </w:rPr>
        <w:t>nanoemulsion</w:t>
      </w:r>
      <w:proofErr w:type="spellEnd"/>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{"citationItems":[{"id":"ITEM-1","itemData":{"DOI":"10.1016/j.jff.2018.08.002","ISSN":"17564646","abstract":"Nanoemulsions can be used to improve the bioaccessibility of lipophilic bioactive compounds, such as curcumin, being their behaviour highly influenced by their interfacial properties. The effect of chitosan and alginate layers’ deposition on curcumin nanoemulsions’ behaviour during in vitro digestion was evaluated using a dynamic gastrointestinal system. Results showed that polyelectrolyte layers’ deposition improved curcumin antioxidant capacity during in vitro digestion. In addition, multilayer nanoemulsions showed a better control of the rate and extent of lipid digestibility by decreasing free fatty acids release, compared to uncoated nanoemulsions. However, a lower curcumin bioaccessibility was observed for multilayer nanoemulsions. Although cytotoxicity assays revealed that both nanosystems are toxic due to the use of sodium dodecyl sulphate (SDS), nanosystems were 3.3-fold less toxic than SDS itself. This study showed that multilayer nanoemulsions could be used to increase satiety by retarding lipid digestion, which can be important for functional foods development for combating obesity.","author":[{"dropping-particle":"","family":"Silva","given":"Hélder D.","non-dropping-particle":"","parse-names":false,"suffix":""},{"dropping-particle":"","family":"Poejo","given":"Joana","non-dropping-particle":"","parse-names":false,"suffix":""},{"dropping-particle":"","family":"Pinheiro","given":"Ana C.","non-dropping-particle":"","parse-names":false,"suffix":""},{"dropping-particle":"","family":"Donsì","given":"Francesco","non-dropping-particle":"","parse-names":false,"suffix":""},{"dropping-particle":"","family":"Serra","given":"Ana Teresa","non-dropping-particle":"","parse-names":false,"suffix":""},{"dropping-particle":"","family":"Duarte","given":"Catarina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A.","non-dropping-particle":"","parse-names":false,"suffix":""},{"dropping-particle":"","family":"Teresa","given":"Ana","non-dropping-particle":"","parse-names":false,"suffix":""},{"dropping-particle":"","family":"Duarte","given":"Catarina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A.","non-dropping-particle":"","parse-names":false,"suffix":""}],"container-title":"Journal of Functional Foods","id":"ITEM-1","issued":{"date-parts":[["2018"]]},"page":"605-613","publisher":"Elsevier","title":"Evaluating the behaviour of curcumin nanoemulsions and multilayer nanoemulsions during dynamic in vitro digestion","type":"article-journal","volume":"48"},"uris":["http://www.mendeley.com/documents/?uuid=79f36988-72c3-47ce-8501-ce4e6ac70d06"]}],"mendeley":{"formattedCitation":"(Silva &lt;i&gt;et al.&lt;/i&gt;, 2018)","plainTextFormattedCitation":"(Silva et al., 2018)","previouslyFormattedCitation":"(Silva &lt;i&gt;et al.&lt;/i&gt;,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(Silva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2018)</w:t>
      </w:r>
      <w:r w:rsidR="00824660">
        <w:rPr>
          <w:rFonts w:ascii="Palatino Linotype" w:hAnsi="Palatino Linotype"/>
          <w:sz w:val="24"/>
          <w:szCs w:val="24"/>
        </w:rPr>
        <w:fldChar w:fldCharType="end"/>
      </w:r>
      <w:r w:rsidRPr="00824660">
        <w:rPr>
          <w:rFonts w:ascii="Palatino Linotype" w:hAnsi="Palatino Linotype"/>
          <w:sz w:val="24"/>
          <w:szCs w:val="24"/>
        </w:rPr>
        <w:t>.</w:t>
      </w:r>
      <w:r w:rsidR="00B1356F" w:rsidRPr="00824660">
        <w:rPr>
          <w:rFonts w:ascii="Palatino Linotype" w:hAnsi="Palatino Linotype"/>
          <w:sz w:val="24"/>
          <w:szCs w:val="24"/>
        </w:rPr>
        <w:t xml:space="preserve"> The supplementary data, which were gathered from publishing databases such as PubMed (https://www.ncbi.nlm.nih.gov/pubmed) and Science direct (https://www.sciencedirect.com/), are utilized to further discuss the topic.</w:t>
      </w:r>
    </w:p>
    <w:p w14:paraId="5D5050F1" w14:textId="6D3E109B" w:rsidR="006B0E08" w:rsidRDefault="006B0E08" w:rsidP="00824660">
      <w:pPr>
        <w:spacing w:after="0" w:line="240" w:lineRule="auto"/>
        <w:ind w:firstLine="720"/>
        <w:jc w:val="both"/>
        <w:rPr>
          <w:rFonts w:ascii="Palatino Linotype" w:hAnsi="Palatino Linotype"/>
          <w:sz w:val="24"/>
          <w:szCs w:val="24"/>
        </w:rPr>
      </w:pPr>
    </w:p>
    <w:p w14:paraId="010FE919" w14:textId="5A6E0F04" w:rsidR="006B0E08" w:rsidRDefault="006B0E08" w:rsidP="00824660">
      <w:pPr>
        <w:spacing w:after="0" w:line="240" w:lineRule="auto"/>
        <w:ind w:firstLine="720"/>
        <w:jc w:val="both"/>
        <w:rPr>
          <w:rFonts w:ascii="Palatino Linotype" w:hAnsi="Palatino Linotype"/>
          <w:sz w:val="24"/>
          <w:szCs w:val="24"/>
        </w:rPr>
      </w:pPr>
    </w:p>
    <w:p w14:paraId="4B42E95D" w14:textId="77777777" w:rsidR="006B0E08" w:rsidRDefault="006B0E08" w:rsidP="00824660">
      <w:pPr>
        <w:spacing w:after="0" w:line="240" w:lineRule="auto"/>
        <w:ind w:firstLine="720"/>
        <w:jc w:val="both"/>
        <w:rPr>
          <w:rFonts w:ascii="Palatino Linotype" w:hAnsi="Palatino Linotype"/>
          <w:sz w:val="24"/>
          <w:szCs w:val="24"/>
        </w:rPr>
      </w:pPr>
    </w:p>
    <w:p w14:paraId="0436C909" w14:textId="77777777" w:rsidR="00824660" w:rsidRPr="00824660" w:rsidRDefault="00824660" w:rsidP="00824660">
      <w:pPr>
        <w:spacing w:after="0" w:line="240" w:lineRule="auto"/>
        <w:ind w:firstLine="720"/>
        <w:jc w:val="both"/>
        <w:rPr>
          <w:rFonts w:ascii="Palatino Linotype" w:hAnsi="Palatino Linotype"/>
          <w:sz w:val="24"/>
          <w:szCs w:val="24"/>
        </w:rPr>
      </w:pPr>
    </w:p>
    <w:p w14:paraId="1943D205" w14:textId="77777777" w:rsidR="00B1356F" w:rsidRPr="006B0E08" w:rsidRDefault="00B1356F" w:rsidP="00824660">
      <w:pPr>
        <w:spacing w:after="0" w:line="240" w:lineRule="auto"/>
        <w:jc w:val="both"/>
        <w:rPr>
          <w:rFonts w:ascii="Palatino Linotype" w:hAnsi="Palatino Linotype"/>
          <w:b/>
          <w:bCs/>
          <w:sz w:val="24"/>
          <w:szCs w:val="24"/>
        </w:rPr>
      </w:pPr>
      <w:r w:rsidRPr="006B0E08">
        <w:rPr>
          <w:rFonts w:ascii="Palatino Linotype" w:hAnsi="Palatino Linotype"/>
          <w:b/>
          <w:bCs/>
          <w:sz w:val="24"/>
          <w:szCs w:val="24"/>
        </w:rPr>
        <w:lastRenderedPageBreak/>
        <w:t>EMULSION - BASED DELIVERY SYSTEM FOR ENCAPSULATION OF CURCUMIN</w:t>
      </w:r>
    </w:p>
    <w:p w14:paraId="49452213" w14:textId="50E0E3F4" w:rsidR="002B27CA" w:rsidRPr="006B0E08" w:rsidRDefault="002B27CA" w:rsidP="00824660">
      <w:pPr>
        <w:spacing w:after="0" w:line="240" w:lineRule="auto"/>
        <w:ind w:firstLine="720"/>
        <w:jc w:val="both"/>
        <w:rPr>
          <w:rFonts w:ascii="Palatino Linotype" w:hAnsi="Palatino Linotype"/>
          <w:b/>
          <w:bCs/>
          <w:sz w:val="24"/>
          <w:szCs w:val="24"/>
        </w:rPr>
      </w:pPr>
      <w:r w:rsidRPr="00824660">
        <w:rPr>
          <w:rFonts w:ascii="Palatino Linotype" w:hAnsi="Palatino Linotype"/>
          <w:sz w:val="24"/>
          <w:szCs w:val="24"/>
        </w:rPr>
        <w:t xml:space="preserve">The presence of </w:t>
      </w:r>
      <w:proofErr w:type="gramStart"/>
      <w:r w:rsidRPr="00824660">
        <w:rPr>
          <w:rFonts w:ascii="Palatino Linotype" w:hAnsi="Palatino Linotype"/>
          <w:sz w:val="24"/>
          <w:szCs w:val="24"/>
        </w:rPr>
        <w:t>a large number of</w:t>
      </w:r>
      <w:proofErr w:type="gramEnd"/>
      <w:r w:rsidRPr="00824660">
        <w:rPr>
          <w:rFonts w:ascii="Palatino Linotype" w:hAnsi="Palatino Linotype"/>
          <w:sz w:val="24"/>
          <w:szCs w:val="24"/>
        </w:rPr>
        <w:t xml:space="preserve"> very small droplets that are dispersed throughout aqueous systems is the defining characteristic of an emulsion. Depending on which phase they are found in, they are typically classified as either water-in-oil (W/O) or oil-in-water (O/W) emulsions. The classifications are based on the order of the phases. Emulsions are examples of thermodynamically unstable systems. This is due to the vast interfacial area that exists between the two immiscible phases that compose the emulsion. Because emulsions are thermodynamically unstable, they have the potential to become destabilized over time, which can result in creaming, sedimentation, flocculation, and coalescence of the systems</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 xml:space="preserve">ADDIN CSL_CITATION {"citationItems":[{"id":"ITEM-1","itemData":{"DOI":"10.1016/j.tifs.2017.11.009","ISSN":"0924-2244","author":[{"dropping-particle":"","family":"Araiza-Calahorra","given":"Andrea","non-dropping-particle":"","parse-names":false,"suffix":""},{"dropping-particle":"","family":"Akhtar","given":"Mahmood","non-dropping-particle":"","parse-names":false,"suffix":""},{"dropping-particle":"","family":"Sarkar","given":"Anwesha","non-dropping-particle":"","parse-names":false,"suffix":""}],"container-title":"Trends in Food Science &amp; Technology","id":"ITEM-1","issued":{"date-parts":[["2018"]]},"page":"155-169","publisher":"Elsevier","title":"Recent advances in emulsion-based delivery approaches for curcumin : From encapsulation to bioaccessibility","type":"article-journal","volume":"71"},"uris":["http://www.mendeley.com/documents/?uuid=23011d3e-1061-4517-b7da-4fa84590b550"]},{"id":"ITEM-2","itemData":{"DOI":"10.1021/acs.jafc.8b03174","ISSN":"15205118","abstract":"In this study, nanoemulsion-based delivery systems fabricated using three different methods were compared with three commercially available curcumin supplements. Powdered curcumin was dispersed into the oil-in-water nanoemulsions using three methods: the conventional oil-loading method, the heat-driven method, and the pH-driven method. The conventional method involved dissolving powdered curcumin in the oil phase (60 °C, 2 h) and then forming a nanoemulsion. The heat-driven method involved forming a nanoemulsion and then adding powdered curcumin and incubating at an elevated temperature (100 °C, 15 min). The pH-driven method involved dissolving curcumin in an alkaline solution (pH 12.5) and then adding this solution to an acidified nanoemulsion (pH 6.0). The three commercial curcumin products were capsules or tablets purchased from an online supplier: Nature Made, Full Spectrum, and CurcuWin. Initially, the encapsulation efficiency of the curcumin in the three nanoemulsions was determined and decreased in the following order: pH-driven (93%) &gt; heat-driven (76%) &gt; conventional (56%) method. The different curcumin formulations were then subjected to a simulated gastrointestinal tract (GIT) model consisting of mouth, stomach, and small intestine phases. All three nanoemulsions had fairly similar curcumin bioaccessibility values (74-79%) but the absolute amount of curcumin in the mixed micelle phase was highest for the pH-driven method. A comparison of these nanoemulsions and commercial products indicated that the curcumin concentration in the mixed micelles decreased in the following order: CurcuWin ≈ pH-driven method &gt; heat-driven method &gt; conventional method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Full spectrum &gt; Nature Made. This study provides valuable information about the impact of the delivery system type on curcumin bioavailability. It suggests that encapsulating curcumin within small lipid particles may be advantageous for improving its absorption form the GIT.","author":[{"dropping-particle":"","family":"Zheng","given":"Bingjing","non-dropping-particle":"","parse-names":false,"suffix":""},{"dropping-particle":"","family":"Peng","given":"Shengfeng","non-dropping-particle":"","parse-names":false,"suffix":""},{"dropping-particle":"","family":"Zhang","given":"Xiaoyun","non-dropping-particle":"","parse-names":false,"suffix":""},{"dropping-particle":"","family":"McClements","given":"David Julian","non-dropping-particle":"","parse-names":false,"suffix":""}],"container-title":"Journal of Agricultural and Food Chemistry","id":"ITEM-2","issue":"41","issued":{"date-parts":[["2018"]]},"page":"10816-10826","title":"Impact of Delivery System Type on Curcumin Bioaccessibility: Comparison of Curcumin-Loaded Nanoemulsions with Commercial Curcumin Supplements","type":"article-journal","volume":"66"},"uris":["http://www.mendeley.com/documents/?uuid=206acf84-ef8a-4e9d-89fe-812b565fcd49"]}],"mendeley":{"formattedCitation":"(Araiza-Calahorra, Akhtar and Sarkar, 2018; Zheng &lt;i&gt;et al.&lt;/i&gt;, 2018)","plainTextFormattedCitation":"(Araiza-Calahorra, Akhtar and Sarkar, 2018; Zheng et al., 2018)","previouslyFormattedCitation":"(Araiza-Calahorra, Akhtar and Sarkar, 2018; Zheng &lt;i&gt;et al.&lt;/i&gt;,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(Araiza-Calahorra, Akhtar and Sarkar, 2018; Zheng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2018)</w:t>
      </w:r>
      <w:r w:rsidR="00824660">
        <w:rPr>
          <w:rFonts w:ascii="Palatino Linotype" w:hAnsi="Palatino Linotype"/>
          <w:sz w:val="24"/>
          <w:szCs w:val="24"/>
        </w:rPr>
        <w:fldChar w:fldCharType="end"/>
      </w:r>
      <w:r w:rsidRPr="00824660">
        <w:rPr>
          <w:rFonts w:ascii="Palatino Linotype" w:hAnsi="Palatino Linotype"/>
          <w:sz w:val="24"/>
          <w:szCs w:val="24"/>
        </w:rPr>
        <w:t>. [Creaming] The process in which an emulsion's constituent parts become separated into distinct layers. Emulsion structures such as standard emulsions that were stabilized with surfactants, monolayer and multilayers of biopolymers, nano-emulsions, and microemulsions have all been utilized in the past decade for the purpose of encapsulating curcumin</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tifs.2017.11.009","ISSN":"0924-2244","author":[{"dropping-particle":"","family":"Araiza-Calahorra","given":"Andrea","non-dropping-particle":"","parse-names":false,"suffix":""},{"dropping-particle":"","family":"Akhtar","given":"Mahmood","non-dropping-particle":"","parse-names":false,"suffix":""},{"dropping-particle":"","family":"Sarkar","given":"Anwesha","non-dropping-particle":"","parse-names":false,"suffix":""}],"container-title":"Trends in Food Science &amp; Technology","id":"ITEM-1","issued":{"date-parts":[["2018"]]},"page":"155-169","publisher":"Elsevier","title":"Recent advances in emulsion-based delivery approaches for curcumin : From encapsulation to bioaccessibility","type":"article-journal","volume":"71"},"uris":["http://www.mendeley.com/documents/?uuid=23011d3e-1061-4517-b7da-4fa84590b550"]},{"id":"ITEM-2","itemData":{"DOI":"10.1016/j.cis.2017.12.001","ISSN":"00018686","abstract":"The formation, stability, and performance of oil-in-water emulsions may be improved by using combinations of two or more different emulsifiers, rather than an individual type. This article provides a review of the physicochemical basis for the ability of mixed emulsifiers to enhance emulsion properties. Initially, an overview of the most important physicochemical properties of emulsifiers is given, and then the nature of emulsifier interactions in solution and at interfaces is discussed. The impact of using mixed emulsifiers on the formation and stability of emulsions is then reviewed. Finally, the impact of using mixed emulsifiers on the functional performance of emulsifiers is given, including gastrointestinal fate, oxidative stability, antimicrobial activity, and release characteristics. This information should facilitate the selection of combinations of emulsifiers that will have improved performance in emulsion-based products.","author":[{"dropping-particle":"","family":"McClements","given":"David Julian","non-dropping-particle":"","parse-names":false,"suffix":""},{"dropping-particle":"","family":"Jafari","given":"Seid Mahdi","non-dropping-particle":"","parse-names":false,"suffix":""}],"container-title":"Advances in Colloid and Interface Science","id":"ITEM-2","issued":{"date-parts":[["2018"]]},"page":"55-79","publisher":"Elsevier B.V.","title":"Improving emulsion formation, stability and performance using mixed emulsifiers: A review","type":"article-journal","volume":"251"},"uris":["http://www.mendeley.com/documents/?uuid=9bbbc89f-d650-468d-b5f1-3f677523c26d"]}],"mendeley":{"formattedCitation":"(Araiza-Calahorra, Akhtar and Sarkar, 2018; McClements and Jafari, 2018)","plainTextFormattedCitation":"(Araiza-Calahorra, Akhtar and Sarkar, 2018; McClements and Jafari, 2018)","previouslyFormattedCitation":"(Araiza-Calahorra, Akhtar and Sarkar, 2018; McClements and Jafari,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(Araiza-</w:t>
      </w:r>
      <w:proofErr w:type="spellStart"/>
      <w:r w:rsidR="007A1605" w:rsidRPr="007A1605">
        <w:rPr>
          <w:rFonts w:ascii="Palatino Linotype" w:hAnsi="Palatino Linotype"/>
          <w:noProof/>
          <w:sz w:val="24"/>
          <w:szCs w:val="24"/>
        </w:rPr>
        <w:t>Calahorra</w:t>
      </w:r>
      <w:proofErr w:type="spellEnd"/>
      <w:r w:rsidR="007A1605" w:rsidRPr="007A1605">
        <w:rPr>
          <w:rFonts w:ascii="Palatino Linotype" w:hAnsi="Palatino Linotype"/>
          <w:noProof/>
          <w:sz w:val="24"/>
          <w:szCs w:val="24"/>
        </w:rPr>
        <w:t>, Akhtar and Sarkar, 2018; McClements and Jafari, 2018)</w:t>
      </w:r>
      <w:r w:rsidR="00824660">
        <w:rPr>
          <w:rFonts w:ascii="Palatino Linotype" w:hAnsi="Palatino Linotype"/>
          <w:sz w:val="24"/>
          <w:szCs w:val="24"/>
        </w:rPr>
        <w:fldChar w:fldCharType="end"/>
      </w:r>
      <w:r w:rsidRPr="00824660">
        <w:rPr>
          <w:rFonts w:ascii="Palatino Linotype" w:hAnsi="Palatino Linotype"/>
          <w:sz w:val="24"/>
          <w:szCs w:val="24"/>
        </w:rPr>
        <w:t xml:space="preserve">. This has been accomplished </w:t>
      </w:r>
      <w:proofErr w:type="gramStart"/>
      <w:r w:rsidRPr="00824660">
        <w:rPr>
          <w:rFonts w:ascii="Palatino Linotype" w:hAnsi="Palatino Linotype"/>
          <w:sz w:val="24"/>
          <w:szCs w:val="24"/>
        </w:rPr>
        <w:t>through the use of</w:t>
      </w:r>
      <w:proofErr w:type="gramEnd"/>
      <w:r w:rsidRPr="00824660">
        <w:rPr>
          <w:rFonts w:ascii="Palatino Linotype" w:hAnsi="Palatino Linotype"/>
          <w:sz w:val="24"/>
          <w:szCs w:val="24"/>
        </w:rPr>
        <w:t xml:space="preserve"> a wide variety of emulsion structures. A simplified illustration of the multilayer structure and the type of emulsion is shown in </w:t>
      </w:r>
      <w:r w:rsidR="006B0E08" w:rsidRPr="006B0E08">
        <w:rPr>
          <w:rFonts w:ascii="Palatino Linotype" w:hAnsi="Palatino Linotype"/>
          <w:b/>
          <w:bCs/>
          <w:sz w:val="24"/>
          <w:szCs w:val="24"/>
        </w:rPr>
        <w:t>F</w:t>
      </w:r>
      <w:r w:rsidRPr="006B0E08">
        <w:rPr>
          <w:rFonts w:ascii="Palatino Linotype" w:hAnsi="Palatino Linotype"/>
          <w:b/>
          <w:bCs/>
          <w:sz w:val="24"/>
          <w:szCs w:val="24"/>
        </w:rPr>
        <w:t>igure 1.</w:t>
      </w:r>
    </w:p>
    <w:p w14:paraId="2CEA0E13" w14:textId="77777777" w:rsidR="002B27CA" w:rsidRPr="00824660" w:rsidRDefault="002B27CA" w:rsidP="006B0E08">
      <w:pPr>
        <w:spacing w:after="0" w:line="240" w:lineRule="auto"/>
        <w:jc w:val="center"/>
        <w:rPr>
          <w:rFonts w:ascii="Palatino Linotype" w:hAnsi="Palatino Linotype" w:cstheme="minorHAnsi"/>
          <w:color w:val="000000"/>
          <w:sz w:val="24"/>
          <w:szCs w:val="24"/>
        </w:rPr>
      </w:pPr>
      <w:r w:rsidRPr="00824660">
        <w:rPr>
          <w:rFonts w:ascii="Palatino Linotype" w:hAnsi="Palatino Linotype" w:cstheme="minorHAnsi"/>
          <w:noProof/>
          <w:color w:val="000000"/>
          <w:sz w:val="24"/>
          <w:szCs w:val="24"/>
        </w:rPr>
        <w:drawing>
          <wp:inline distT="0" distB="0" distL="0" distR="0" wp14:anchorId="4427EC6E" wp14:editId="4AA61FD0">
            <wp:extent cx="4572000" cy="2225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225675"/>
                    </a:xfrm>
                    <a:prstGeom prst="rect">
                      <a:avLst/>
                    </a:prstGeom>
                    <a:noFill/>
                    <a:ln>
                      <a:noFill/>
                    </a:ln>
                  </pic:spPr>
                </pic:pic>
              </a:graphicData>
            </a:graphic>
          </wp:inline>
        </w:drawing>
      </w:r>
    </w:p>
    <w:p w14:paraId="2A2AB9D5" w14:textId="7D0FAA46" w:rsidR="002B27CA" w:rsidRPr="00824660" w:rsidRDefault="002B27CA" w:rsidP="00824660">
      <w:pPr>
        <w:spacing w:after="0" w:line="240" w:lineRule="auto"/>
        <w:jc w:val="both"/>
        <w:rPr>
          <w:rFonts w:ascii="Palatino Linotype" w:hAnsi="Palatino Linotype" w:cstheme="minorHAnsi"/>
          <w:color w:val="000000"/>
          <w:sz w:val="24"/>
          <w:szCs w:val="24"/>
        </w:rPr>
      </w:pPr>
      <w:r w:rsidRPr="00824660">
        <w:rPr>
          <w:rFonts w:ascii="Palatino Linotype" w:hAnsi="Palatino Linotype" w:cstheme="minorHAnsi"/>
          <w:b/>
          <w:color w:val="000000"/>
          <w:sz w:val="24"/>
          <w:szCs w:val="24"/>
        </w:rPr>
        <w:t>Figure 1</w:t>
      </w:r>
      <w:r w:rsidRPr="00824660">
        <w:rPr>
          <w:rFonts w:ascii="Palatino Linotype" w:hAnsi="Palatino Linotype" w:cstheme="minorHAnsi"/>
          <w:color w:val="000000"/>
          <w:sz w:val="24"/>
          <w:szCs w:val="24"/>
        </w:rPr>
        <w:t xml:space="preserve">. The schematics of the </w:t>
      </w:r>
      <w:proofErr w:type="spellStart"/>
      <w:r w:rsidRPr="00824660">
        <w:rPr>
          <w:rFonts w:ascii="Palatino Linotype" w:hAnsi="Palatino Linotype" w:cstheme="minorHAnsi"/>
          <w:color w:val="000000"/>
          <w:sz w:val="24"/>
          <w:szCs w:val="24"/>
        </w:rPr>
        <w:t>nanoemulsion</w:t>
      </w:r>
      <w:proofErr w:type="spellEnd"/>
      <w:r w:rsidRPr="00824660">
        <w:rPr>
          <w:rFonts w:ascii="Palatino Linotype" w:hAnsi="Palatino Linotype" w:cstheme="minorHAnsi"/>
          <w:color w:val="000000"/>
          <w:sz w:val="24"/>
          <w:szCs w:val="24"/>
        </w:rPr>
        <w:t xml:space="preserve"> (mean radii 0.2 – 100 µm) (a); multilayer emulsion (b)</w:t>
      </w:r>
      <w:r w:rsidR="00824660">
        <w:rPr>
          <w:rFonts w:ascii="Palatino Linotype" w:hAnsi="Palatino Linotype" w:cstheme="minorHAnsi"/>
          <w:color w:val="000000"/>
          <w:sz w:val="24"/>
          <w:szCs w:val="24"/>
        </w:rPr>
        <w:t xml:space="preserve"> </w:t>
      </w:r>
      <w:r w:rsidR="00824660">
        <w:rPr>
          <w:rFonts w:ascii="Palatino Linotype" w:hAnsi="Palatino Linotype" w:cstheme="minorHAnsi"/>
          <w:color w:val="000000"/>
          <w:sz w:val="24"/>
          <w:szCs w:val="24"/>
        </w:rPr>
        <w:fldChar w:fldCharType="begin" w:fldLock="1"/>
      </w:r>
      <w:r w:rsidR="0080269F">
        <w:rPr>
          <w:rFonts w:ascii="Palatino Linotype" w:hAnsi="Palatino Linotype" w:cstheme="minorHAnsi"/>
          <w:color w:val="000000"/>
          <w:sz w:val="24"/>
          <w:szCs w:val="24"/>
        </w:rPr>
        <w:instrText>ADDIN CSL_CITATION {"citationItems":[{"id":"ITEM-1","itemData":{"DOI":"10.1016/j.tifs.2017.11.009","ISSN":"0924-2244","author":[{"dropping-particle":"","family":"Araiza-Calahorra","given":"Andrea","non-dropping-particle":"","parse-names":false,"suffix":""},{"dropping-particle":"","family":"Akhtar","given":"Mahmood","non-dropping-particle":"","parse-names":false,"suffix":""},{"dropping-particle":"","family":"Sarkar","given":"Anwesha","non-dropping-particle":"","parse-names":false,"suffix":""}],"container-title":"Trends in Food Science &amp; Technology","id":"ITEM-1","issued":{"date-parts":[["2018"]]},"page":"155-169","publisher":"Elsevier","title":"Recent advances in emulsion-based delivery approaches for curcumin : From encapsulation to bioaccessibility","type":"article-journal","volume":"71"},"uris":["http://www.mendeley.com/documents/?uuid=23011d3e-1061-4517-b7da-4fa84590b550"]}],"mendeley":{"formattedCitation":"(Araiza-Calahorra, Akhtar and Sarkar, 2018)","plainTextFormattedCitation":"(Araiza-Calahorra, Akhtar and Sarkar, 2018)","previouslyFormattedCitation":"(Araiza-Calahorra, Akhtar and Sarkar, 2018)"},"properties":{"noteIndex":0},"schema":"https://github.com/citation-style-language/schema/raw/master/csl-citation.json"}</w:instrText>
      </w:r>
      <w:r w:rsidR="00824660">
        <w:rPr>
          <w:rFonts w:ascii="Palatino Linotype" w:hAnsi="Palatino Linotype" w:cstheme="minorHAnsi"/>
          <w:color w:val="000000"/>
          <w:sz w:val="24"/>
          <w:szCs w:val="24"/>
        </w:rPr>
        <w:fldChar w:fldCharType="separate"/>
      </w:r>
      <w:r w:rsidR="007A1605" w:rsidRPr="007A1605">
        <w:rPr>
          <w:rFonts w:ascii="Palatino Linotype" w:hAnsi="Palatino Linotype" w:cstheme="minorHAnsi"/>
          <w:noProof/>
          <w:color w:val="000000"/>
          <w:sz w:val="24"/>
          <w:szCs w:val="24"/>
        </w:rPr>
        <w:t>(Araiza-Calahorra, Akhtar and Sarkar, 2018)</w:t>
      </w:r>
      <w:r w:rsidR="00824660">
        <w:rPr>
          <w:rFonts w:ascii="Palatino Linotype" w:hAnsi="Palatino Linotype" w:cstheme="minorHAnsi"/>
          <w:color w:val="000000"/>
          <w:sz w:val="24"/>
          <w:szCs w:val="24"/>
        </w:rPr>
        <w:fldChar w:fldCharType="end"/>
      </w:r>
      <w:r w:rsidRPr="00824660">
        <w:rPr>
          <w:rFonts w:ascii="Palatino Linotype" w:hAnsi="Palatino Linotype" w:cstheme="minorHAnsi"/>
          <w:color w:val="000000"/>
          <w:sz w:val="24"/>
          <w:szCs w:val="24"/>
        </w:rPr>
        <w:t xml:space="preserve"> </w:t>
      </w:r>
    </w:p>
    <w:p w14:paraId="6649BB70" w14:textId="77777777" w:rsidR="002B27CA" w:rsidRPr="00824660" w:rsidRDefault="002B27CA" w:rsidP="00824660">
      <w:pPr>
        <w:spacing w:after="0" w:line="240" w:lineRule="auto"/>
        <w:jc w:val="both"/>
        <w:rPr>
          <w:rFonts w:ascii="Palatino Linotype" w:hAnsi="Palatino Linotype"/>
          <w:sz w:val="24"/>
          <w:szCs w:val="24"/>
        </w:rPr>
      </w:pPr>
    </w:p>
    <w:p w14:paraId="4EA1CA8B" w14:textId="73ED84DE" w:rsidR="002B27CA" w:rsidRDefault="0023343B"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In the process of encapsulating curcumin into emulsion-based delivery systems, two factors that are important to consider are the loading efficiency as well as the droplet size. When we talk about the "loading efficiency" of emulsion systems, we are referring to their capacity to entrap particles. It is the percentage of the total amount of curcumin that has been added that corresponds to the mass of curcumin that has been entrapped inside the emulsion</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 xml:space="preserve">ADDIN CSL_CITATION {"citationItems":[{"id":"ITEM-1","itemData":{"DOI":"10.1021/acs.jafc.8b03174","ISSN":"15205118","abstract":"In this study, nanoemulsion-based delivery systems fabricated using three different methods were compared with three commercially available curcumin supplements. Powdered curcumin was dispersed into the oil-in-water nanoemulsions using three methods: the conventional oil-loading method, the heat-driven method, and the pH-driven method. The conventional method involved dissolving powdered curcumin in the oil phase (60 °C, 2 h) and then forming a nanoemulsion. The heat-driven method involved forming a nanoemulsion and then adding powdered curcumin and incubating at an elevated temperature (100 °C, 15 min). The pH-driven method involved dissolving curcumin in an alkaline solution (pH 12.5) and then adding this solution to an acidified nanoemulsion (pH 6.0). The three commercial curcumin products were capsules or tablets purchased from an online supplier: Nature Made, Full Spectrum, and CurcuWin. Initially, the encapsulation efficiency of the curcumin in the three nanoemulsions was determined and decreased in the following order: pH-driven (93%) &gt; heat-driven (76%) &gt; conventional (56%) method. The different curcumin formulations were then subjected to a simulated gastrointestinal tract (GIT) model consisting of mouth, stomach, and small intestine phases. All three nanoemulsions had fairly similar curcumin bioaccessibility values (74-79%) but the absolute amount of curcumin in the mixed micelle phase was highest for the pH-driven method. A comparison of these nanoemulsions and commercial products indicated that the curcumin concentration in the mixed micelles decreased in the following order: CurcuWin ≈ pH-driven method &gt; heat-driven method &gt; conventional method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Full spectrum &gt; Nature Made. This study provides valuable information about the impact of the delivery system type on curcumin bioavailability. It suggests that encapsulating curcumin within small lipid particles may be advantageous for improving its absorption form the GIT.","author":[{"dropping-particle":"","family":"Zheng","given":"Bingjing","non-dropping-particle":"","parse-names":false,"suffix":""},{"dropping-particle":"","family":"Peng","given":"Shengfeng","non-dropping-particle":"","parse-names":false,"suffix":""},{"dropping-particle":"","family":"Zhang","given":"Xiaoyun","non-dropping-particle":"","parse-names":false,"suffix":""},{"dropping-particle":"","family":"McClements","given":"David Julian","non-dropping-particle":"","parse-names":false,"suffix":""}],"container-title":"Journal of Agricultural and Food Chemistry","id":"ITEM-1","issue":"41","issued":{"date-parts":[["2018"]]},"page":"10816-10826","title":"Impact of Delivery System Type on Curcumin Bioaccessibility: Comparison of Curcumin-Loaded Nanoemulsions with Commercial Curcumin Supplements","type":"article-journal","volume":"66"},"uris":["http://www.mendeley.com/documents/?uuid=e15c825f-adf4-44b5-933e-f17756551710"]}],"mendeley":{"formattedCitation":"(Zheng &lt;i&gt;et al.&lt;/i&gt;, 2018)","plainTextFormattedCitation":"(Zheng et al., 2018)","previouslyFormattedCitation":"(Zheng &lt;i&gt;et al.&lt;/i&gt;,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(Zheng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2018)</w:t>
      </w:r>
      <w:r w:rsidR="00824660">
        <w:rPr>
          <w:rFonts w:ascii="Palatino Linotype" w:hAnsi="Palatino Linotype"/>
          <w:sz w:val="24"/>
          <w:szCs w:val="24"/>
        </w:rPr>
        <w:fldChar w:fldCharType="end"/>
      </w:r>
      <w:r w:rsidRPr="00824660">
        <w:rPr>
          <w:rFonts w:ascii="Palatino Linotype" w:hAnsi="Palatino Linotype"/>
          <w:sz w:val="24"/>
          <w:szCs w:val="24"/>
        </w:rPr>
        <w:t xml:space="preserve">. Emulsions, the kind of emulsifier used, and the structural arrangements of the emulsifier at the interface all play a significant role in </w:t>
      </w:r>
      <w:r w:rsidRPr="00824660">
        <w:rPr>
          <w:rFonts w:ascii="Palatino Linotype" w:hAnsi="Palatino Linotype"/>
          <w:sz w:val="24"/>
          <w:szCs w:val="24"/>
        </w:rPr>
        <w:lastRenderedPageBreak/>
        <w:t>determining loading efficiency</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{"citationItems":[{"id":"ITEM-1","itemData":{"DOI":"10.1016/j.lwt.2017.04.074","ISSN":"00236438","abstract":"Curcumin is a natural food coloring agent with many pharmacological effects such as anti-oxidation and anti-cancer. In this study, curcumin was dissolved in different oil phases (medium chain triglyceride, canola oil and linseed oil) by different treatments (heat, ultrasonic and microwave). Curcumin nanoemulsions stabilized by different emulsifiers (Tween-80, lecithin, whey protein isolation and acacia) with different concentrations were prepared using high pressure homogenization to evaluate physicochemical properties including curcumin content, particle size, potential, physical stability and storage stability (variation of curcumin content and particle size under different temperatures in 60 days). The increase in oil phase concentration caused increase in curcumin content, particle size and viscosity of the emulsions but decrease in stability. Meanwhile, temperature significantly affected the stability of nanoemulsion stabilized by lecithin instead of Tween-80. Curcumin nanoemulsion could achieve the maximum curcumin content when choosing medium chain triglyceride as its oil phase. These results may broaden the application of curcumin in food industry for improving its solubility and bioavailability.","author":[{"dropping-particle":"","family":"Ma","given":"Peihua","non-dropping-particle":"","parse-names":false,"suffix":""},{"dropping-particle":"","family":"Zeng","given":"Qinghan","non-dropping-particle":"","parse-names":false,"suffix":""},{"dropping-particle":"","family":"Tai","given":"Kedong","non-dropping-particle":"","parse-names":false,"suffix":""},{"dropping-particle":"","family":"He","given":"Xiaoye","non-dropping-particle":"","parse-names":false,"suffix":""},{"dropping-particle":"","family":"Yao","given":"Yanyu","non-dropping-particle":"","parse-names":false,"suffix":""},{"dropping-particle":"","family":"Hong","given":"Xiaofeng","non-dropping-particle":"","parse-names":false,"suffix":""},{"dropping-particle":"","family":"Yuan","given":"Fang","non-dropping-particle":"","parse-names":false,"suffix":""}],"container-title":"LWT - Food Science and Technology","id":"ITEM-1","issued":{"date-parts":[["2017"]]},"page":"34-46","publisher":"Elsevier Ltd","title":"Preparation of curcumin-loaded emulsion using high pressure homogenization: Impact of oil phase and concentration on physicochemical stability","type":"article-journal","volume":"84"},"uris":["http://www.mendeley.com/documents/?uuid=2238ca00-bd4e-454e-98c8-ecdb14425564"]}],"mendeley":{"formattedCitation":"(Ma &lt;i&gt;et al.&lt;/i&gt;, 2017)","plainTextFormattedCitation":"(Ma et al., 2017)","previouslyFormattedCitation":"(Ma &lt;i&gt;et al.&lt;/i&gt;, 2017)"},"properties":{"noteIndex":0},"schema":"https://github.com/citation-style-language/schema/raw/master/csl-citation.json"}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(Ma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2017)</w:t>
      </w:r>
      <w:r w:rsidR="00824660">
        <w:rPr>
          <w:rFonts w:ascii="Palatino Linotype" w:hAnsi="Palatino Linotype"/>
          <w:sz w:val="24"/>
          <w:szCs w:val="24"/>
        </w:rPr>
        <w:fldChar w:fldCharType="end"/>
      </w:r>
      <w:r w:rsidRPr="00824660">
        <w:rPr>
          <w:rFonts w:ascii="Palatino Linotype" w:hAnsi="Palatino Linotype"/>
          <w:sz w:val="24"/>
          <w:szCs w:val="24"/>
        </w:rPr>
        <w:t xml:space="preserve">. The addition of curcumin should not result in a change in the average droplet size of the mixture. This is because the presence of curcumin will </w:t>
      </w:r>
      <w:proofErr w:type="gramStart"/>
      <w:r w:rsidRPr="00824660">
        <w:rPr>
          <w:rFonts w:ascii="Palatino Linotype" w:hAnsi="Palatino Linotype"/>
          <w:sz w:val="24"/>
          <w:szCs w:val="24"/>
        </w:rPr>
        <w:t>have an effect on</w:t>
      </w:r>
      <w:proofErr w:type="gramEnd"/>
      <w:r w:rsidRPr="00824660">
        <w:rPr>
          <w:rFonts w:ascii="Palatino Linotype" w:hAnsi="Palatino Linotype"/>
          <w:sz w:val="24"/>
          <w:szCs w:val="24"/>
        </w:rPr>
        <w:t xml:space="preserve"> the emulsion's stability. Both the crystal size of the curcumin and the concentration of the emulsifier can have an effect on the degree to which droplet size increases after the inclusion of curcumin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{"citationItems":[{"id":"ITEM-1","itemData":{"DOI":"10.1016/j.lwt.2017.04.074","ISSN":"00236438","abstract":"Curcumin is a natural food coloring agent with many pharmacological effects such as anti-oxidation and anti-cancer. In this study, curcumin was dissolved in different oil phases (medium chain triglyceride, canola oil and linseed oil) by different treatments (heat, ultrasonic and microwave). Curcumin nanoemulsions stabilized by different emulsifiers (Tween-80, lecithin, whey protein isolation and acacia) with different concentrations were prepared using high pressure homogenization to evaluate physicochemical properties including curcumin content, particle size, potential, physical stability and storage stability (variation of curcumin content and particle size under different temperatures in 60 days). The increase in oil phase concentration caused increase in curcumin content, particle size and viscosity of the emulsions but decrease in stability. Meanwhile, temperature significantly affected the stability of nanoemulsion stabilized by lecithin instead of Tween-80. Curcumin nanoemulsion could achieve the maximum curcumin content when choosing medium chain triglyceride as its oil phase. These results may broaden the application of curcumin in food industry for improving its solubility and bioavailability.","author":[{"dropping-particle":"","family":"Ma","given":"Peihua","non-dropping-particle":"","parse-names":false,"suffix":""},{"dropping-particle":"","family":"Zeng","given":"Qinghan","non-dropping-particle":"","parse-names":false,"suffix":""},{"dropping-particle":"","family":"Tai","given":"Kedong","non-dropping-particle":"","parse-names":false,"suffix":""},{"dropping-particle":"","family":"He","given":"Xiaoye","non-dropping-particle":"","parse-names":false,"suffix":""},{"dropping-particle":"","family":"Yao","given":"Yanyu","non-dropping-particle":"","parse-names":false,"suffix":""},{"dropping-particle":"","family":"Hong","given":"Xiaofeng","non-dropping-particle":"","parse-names":false,"suffix":""},{"dropping-particle":"","family":"Yuan","given":"Fang","non-dropping-particle":"","parse-names":false,"suffix":""}],"container-title":"LWT - Food Science and Technology","id":"ITEM-1","issued":{"date-parts":[["2017"]]},"page":"34-46","publisher":"Elsevier Ltd","title":"Preparation of curcumin-loaded emulsion using high pressure homogenization: Impact of oil phase and concentration on physicochemical stability","type":"article-journal","volume":"84"},"uris":["http://www.mendeley.com/documents/?uuid=2238ca00-bd4e-454e-98c8-ecdb14425564"]},{"id":"ITEM-2","itemData":{"DOI":"10.1111/1750-3841.15488","ISSN":"17503841","PMID":"33067839","abstract":"Abstract: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Science","id":"ITEM-2","issue":"11","issued":{"date-parts":[["2020"]]},"page":"3874-3884","title":"A novel approach to develop spray-dried encapsulated curcumin powder from oil-in-water emulsions stabilized by combined surfactants and chitosan","type":"article-journal","volume":"85"},"uris":["http://www.mendeley.com/documents/?uuid=92822abf-eae1-4507-8e74-41bc41b47aec"]}],"mendeley":{"formattedCitation":"(Ma &lt;i&gt;et al.&lt;/i&gt;, 2017; Hamad &lt;i&gt;et al.&lt;/i&gt;, 2020)","plainTextFormattedCitation":"(Ma et al., 2017; Hamad et al., 2020)","previouslyFormattedCitation":"(Ma &lt;i&gt;et al.&lt;/i&gt;, 2017; Hamad &lt;i&gt;et al.&lt;/i&gt;,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(Ma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2017;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00824660">
        <w:rPr>
          <w:rFonts w:ascii="Palatino Linotype" w:hAnsi="Palatino Linotype"/>
          <w:sz w:val="24"/>
          <w:szCs w:val="24"/>
        </w:rPr>
        <w:fldChar w:fldCharType="end"/>
      </w:r>
      <w:r w:rsidRPr="00824660">
        <w:rPr>
          <w:rFonts w:ascii="Palatino Linotype" w:hAnsi="Palatino Linotype"/>
          <w:sz w:val="24"/>
          <w:szCs w:val="24"/>
        </w:rPr>
        <w:t>.</w:t>
      </w:r>
    </w:p>
    <w:p w14:paraId="34CCBED7" w14:textId="77777777" w:rsidR="00824660" w:rsidRPr="00824660" w:rsidRDefault="00824660" w:rsidP="00824660">
      <w:pPr>
        <w:spacing w:after="0" w:line="240" w:lineRule="auto"/>
        <w:ind w:firstLine="720"/>
        <w:jc w:val="both"/>
        <w:rPr>
          <w:rFonts w:ascii="Palatino Linotype" w:hAnsi="Palatino Linotype"/>
          <w:sz w:val="24"/>
          <w:szCs w:val="24"/>
        </w:rPr>
      </w:pPr>
    </w:p>
    <w:p w14:paraId="785C4199" w14:textId="2FE41AAD" w:rsidR="00B1356F" w:rsidRPr="006B0E08" w:rsidRDefault="00B1356F" w:rsidP="00824660">
      <w:pPr>
        <w:spacing w:after="0" w:line="240" w:lineRule="auto"/>
        <w:jc w:val="both"/>
        <w:rPr>
          <w:rFonts w:ascii="Palatino Linotype" w:hAnsi="Palatino Linotype"/>
          <w:b/>
          <w:bCs/>
          <w:sz w:val="24"/>
          <w:szCs w:val="24"/>
        </w:rPr>
      </w:pPr>
      <w:r w:rsidRPr="006B0E08">
        <w:rPr>
          <w:rFonts w:ascii="Palatino Linotype" w:hAnsi="Palatino Linotype"/>
          <w:b/>
          <w:bCs/>
          <w:sz w:val="24"/>
          <w:szCs w:val="24"/>
        </w:rPr>
        <w:t>THE USE OF CHITOSAN AS AN ENCAPSULATING AGENT</w:t>
      </w:r>
    </w:p>
    <w:p w14:paraId="6119DBBA" w14:textId="000A1F15" w:rsidR="0023343B" w:rsidRPr="00824660" w:rsidRDefault="0023343B"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Biopolymer is utilized quite frequently in the coating and encapsulating system in order to achieve the goal of improving the system's stability</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{"citationItems":[{"id":"ITEM-1","itemData":{"DOI":"10.1016/j.foodhyd.2020.105655","ISSN":"0268005X","abstract":"To utilize macadamia protein isolate (MPI) from macadamia oil production waste, the emulsifying capacity of macadamia protein isolate (MPI) was investigated. MPI-chitosan hydrochloride (CHC) composite polymer (MCCP) was designed and fabricated using a two-step pH cycling method. The particle size, zeta potential, and stability of MCCPs with different CHC-to-MPI ratios were examined. MCCP fabricated with 20% CHC-to-MPI ratio was selected for emulsion preparation based on its particle size. MCCP stabilized emulsions better than either MPI alone or MPI mixed with CHC. Confocal laser scanning microscopy images proved that MCCP formed a layer on the surface of oil droplets. The surface loading and microstructure of the emulsion suggested that MCCPs stabilize the emulsion through a percolating network structure. The stability of the emulsions increased with increased MCCP concentration and oil fraction. Higher viscosity was also observed with higher MCCP concentration and oil fraction. The stability of the emulsion was then evaluated under different pH values and ionic strengths. Overall, this study successfully fabricated the composite polymers with MPI and CHC, and emulsions stabilized by the composite polymers. It provided a potential application of MPI in novel foods for individuals with vegetarian or Kosher requirements.","author":[{"dropping-particle":"","family":"Zhong","given":"Yejun","non-dropping-particle":"","parse-names":false,"suffix":""},{"dropping-particle":"","family":"Xiang","given":"Xiaoyue","non-dropping-particle":"","parse-names":false,"suffix":""},{"dropping-particle":"","family":"Wang","given":"Xiaohuang","non-dropping-particle":"","parse-names":false,"suffix":""},{"dropping-particle":"","family":"Zhang","given":"Yu","non-dropping-particle":"","parse-names":false,"suffix":""},{"dropping-particle":"","family":"Hu","given":"Mingming","non-dropping-particle":"","parse-names":false,"suffix":""},{"dropping-particle":"","family":"Chen","given":"Tingting","non-dropping-particle":"","parse-names":false,"suffix":""},{"dropping-particle":"","family":"Liu","given":"Chengmei","non-dropping-particle":"","parse-names":false,"suffix":""}],"container-title":"Food Hydrocolloids","id":"ITEM-1","issue":"August 2019","issued":{"date-parts":[["2020"]]},"page":"105655","publisher":"Elsevier Ltd","title":"Fabrication and characterization of oil-in-water emulsions stabilized by macadamia protein isolate/chitosan hydrochloride composite polymers","type":"article-journal","volume":"103"},"uris":["http://www.mendeley.com/documents/?uuid=614686fe-4f1e-40c6-bc9f-9804be7807f2"]},{"id":"ITEM-2","itemData":{"DOI":"10.1016/j.foodres.2020.109739","ISSN":"18737145","PMID":"33233304","abstract":"This paper is part of a series examining the impact of the main factors influencing lipid digestion and nutraceutical bioaccessibility in β-carotene-loaded oil-in-water emulsions using the harmonized INFOGEST simulated gastrointestinal model. Here, the impact of emulsifier type was examined since food emulsions and nutraceutical delivery systems are often stabilized by various types of emulsifier. The INFOGEST method was adopted to investigate the in vitro gastrointestinal fate of emulsions stabilized by five kinds of food-grade emulsifier representing different classes: synthetic surfactants (Tween 20); natural surfactants (quillaja saponin); proteins (caseinate); polysaccharides (gum arabic); and phospholipids (soy lysolecithin). Microfluidization produced emulsions with small droplet sizes for all emulsifiers, except soy lysolecithin. Within the gastrointestinal model, the caseinate-coated oil droplets had the worst gastric stability, with severe droplet flocculation and coalescence occurring in the stomach. The fraction of the lipid phase that had been digested by the end of the gastrointestinal model was considerably lower for the emulsions stabilized by soy lysolecithin (93%) or caseinate (93%), than those stabilized by gum arabic (99%), quillaja saponin (111%) or Tween 20 (117%). This effect was attributed to lower surface area of lipids available for lipase to attach to for the lysolecithin and caseinate emulsions. The overall bioaccessibility of the β-carotene increased in this order: lysolecithin (25%) &lt; gum arabic (51%) &lt; caseinate (55%) &lt; quillaja saponin (56%) &lt; Tween 20 (62%). The impact of emulsifier type on carotenoid bioaccessibility was ascribed to various factors: (i) some emulsifiers inhibited lipid digestion and so a fraction of the β-carotene remained inside the undigested droplets and the mixed micelle phase had less solubilization capacity, i.e., lysolecithin, and caseinate; (ii) some emulsifiers protected β-carotene from chemical degradation, i.e., lysolecithin and caseinate; and (iii) some emulsifiers promoted sedimentation of the β-carotene-loaded micelles, i.e., lysolecithin. These results suggest that food emulsion behavior in the human gut may be influenced by the nature of the emulsifier employed, which is important knowledge when creating functional food and beverage products.","author":[{"dropping-particle":"","family":"Tan","given":"Yunbing","non-dropping-particle":"","parse-names":false,"suffix":""},{"dropping-particle":"","family":"Zhang","given":"Zhiyun","non-dropping-particle":"","parse-names":false,"suffix":""},{"dropping-particle":"","family":"Muriel Mundo","given":"Jorge","non-dropping-particle":"","parse-names":false,"suffix":""},{"dropping-particle":"","family":"McClements","given":"David Julian","non-dropping-particle":"","parse-names":false,"suffix":""}],"container-title":"Food Research International","id":"ITEM-2","issue":"September","issued":{"date-parts":[["2020"]]},"page":"109739","publisher":"Elsevier Ltd","title":"Factors impacting lipid digestion and nutraceutical bioaccessibility assessed by standardized gastrointestinal model (INFOGEST): Emulsifier type","type":"article-journal","volume":"137"},"uris":["http://www.mendeley.com/documents/?uuid=2d052146-2be1-402a-a77f-6d61e8ecd240"]}],"mendeley":{"formattedCitation":"(Tan &lt;i&gt;et al.&lt;/i&gt;, 2020; Zhong &lt;i&gt;et al.&lt;/i&gt;, 2020)","plainTextFormattedCitation":"(Tan et al., 2020; Zhong et al., 2020)","previouslyFormattedCitation":"(Tan &lt;i&gt;et al.&lt;/i&gt;, 2020; Zhong &lt;i&gt;et al.&lt;/i&gt;,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(Tan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2020; Zhong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00824660">
        <w:rPr>
          <w:rFonts w:ascii="Palatino Linotype" w:hAnsi="Palatino Linotype"/>
          <w:sz w:val="24"/>
          <w:szCs w:val="24"/>
        </w:rPr>
        <w:fldChar w:fldCharType="end"/>
      </w:r>
      <w:r w:rsidRPr="00824660">
        <w:rPr>
          <w:rFonts w:ascii="Palatino Linotype" w:hAnsi="Palatino Linotype"/>
          <w:sz w:val="24"/>
          <w:szCs w:val="24"/>
        </w:rPr>
        <w:t xml:space="preserve">. Chitin is capable of being deacetylated, which results in the production of chitosan, a naturally occurring polymer. Consumption of this polysaccharide does not pose any health risks, and it is also biocompatible and biodegradable. Because of their high level of stability, low level of toxicity, and straightforward and gentle technique of synthesis, chitosan nanoparticles have attracted increased interest as potential delivery vehicles for bioactive substances. This is due to the fact that their level of toxicity is low. Under conditions of neutral pH, the deacetylated chitosan backbone of glucosamine units is able to engage in powerful electrostatic interactions with proteins that have an overall negative charge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{"citationItems":[{"id":"ITEM-1","itemData":{"DOI":"10.1016/j.foodhyd.2016.01.021","ISSN":"0268005X","abstract":"This study developed the polysaccharide-based nanoparticles by the polyelectrolyte complexation between chitosan (CS) and gum arabic (GA) as novel delivery systems for curcumin. Optimization of parameters affecting the formulation of such nanocarriers was performed by means of dynamic light scattering and fluorescence analysis. It was demonstrated that at pH 4.0 and 1:1 mixing ratio of CS to GA, the two biopolymers can form hydrophilic, monodisperse and highly positively charged colloidal nanoparticles. Fourier-transform infrared and X-ray diffraction further confirmed their electrostatic interaction. Subsequently, the formulations and stability of nanoparticles loaded with curcumin were compared. The optimum formulation was found to be Tween 80/egg yolk phospholipid (1:1, w/w), curcumin/emulsifier (0.5:5, w/w) and curcumin concentration initially prepared (4%, w/w). The developed nanoparticles showed the average diameter in the range of 250-290 nm. The curcumin encapsulation efficiency and loading content respectively exceeded 90% and 3.8%, with a retention rate higher than 85% during storage. Additionally, whatever the antioxidant model was, the antioxidant activities of curcumin were significantly enhanced by nanoencapsulation. Furthermore, compared to emulsion without biopolymer coating, CS-GA nanoparticles can improve the stability and delay the release of curcumin in a simulated gastrointestinal environment. These findings suggested that CS-GA nanoparticles could be used as an ideal carrier to deliver hydrophobic bioactive ingredients like curcumin in functional foods.","author":[{"dropping-particle":"","family":"Tan","given":"Chen","non-dropping-particle":"","parse-names":false,"suffix":""},{"dropping-particle":"","family":"Xie","given":"Jiehong","non-dropping-particle":"","parse-names":false,"suffix":""},{"dropping-particle":"","family":"Zhang","given":"Xiaoming","non-dropping-particle":"","parse-names":false,"suffix":""},{"dropping-particle":"","family":"Cai","given":"Jibao","non-dropping-particle":"","parse-names":false,"suffix":""},{"dropping-particle":"","family":"Xia","given":"Shuqin","non-dropping-particle":"","parse-names":false,"suffix":""}],"container-title":"Food Hydrocolloids","id":"ITEM-1","issued":{"date-parts":[["2016"]]},"page":"236-245","publisher":"Elsevier Ltd","title":"Polysaccharide-based nanoparticles by chitosan and gum arabic polyelectrolyte complexation as carriers for curcumin","type":"article-journal","volume":"57"},"uris":["http://www.mendeley.com/documents/?uuid=92995e96-a1a9-495e-883f-742c2399b59d"]},{"id":"ITEM-2","itemData":{"DOI":"10.1007/s13197-019-03969-2","ISSN":"09758402","abstract":"The use of lemongrass oil as food preservative present great potential, however it has high volatility and intense aroma, making them limited to be used as food additives. Microencapsulation processes become interesting alternatives to overcome these issues. This work investigated the influence of the partial replacement of gum arabic by modified starches on the microencapsulation of lemongrass oil as core material. Gum arabic and its combinations with modified starches: cassava and corn maltodextrins with different dextrose equivalent (DE) and octenyl succinic anhydride modified starch (OSA-starch) were studied. The emulsions were spray dried at controlled temperature of 170 °C. The evaluated parameters particles solubility, moisture content, and oil composition did not showed significant differences among the treatments. Replacement of gum arabic by maltodextrin DE20 and OSA-starch resulted in higher wetting times. Oil retention was increased (81.2%) when gum arabic was replaced by OSA-starch; the treatment without substitution, with only gum arabic had 67.5% of oil retention. Application of OSA-starch in association with gum arabic in microencapsulation by spray drying of lemongrass oil presented greater potential to be used due to its higher oil retention. Polymer blends should be assessed since they present advantages over individually applied polymers. Although maltodextrins show some differences compared to the treatment with only gum arabic, it may also be a viable alternative because of its lower cost.","author":[{"dropping-particle":"","family":"Carvalho","given":"Gabriel Ribeiro","non-dropping-particle":"","parse-names":false,"suffix":""},{"dropping-particle":"","family":"Fernandes","given":"Regiane Victória de Barros","non-dropping-particle":"","parse-names":false,"suffix":""},{"dropping-particle":"","family":"Castro e Silva","given":"Priscila","non-dropping-particle":"de","parse-names":false,"suffix":""},{"dropping-particle":"","family":"Dessimoni","given":"Anelise Lima de Abreu","non-dropping-particle":"","parse-names":false,"suffix":""},{"dropping-particle":"","family":"Oliveira","given":"Cassiano Rodrigues","non-dropping-particle":"","parse-names":false,"suffix":""},{"dropping-particle":"","family":"Borges","given":"Soraia Vilela","non-dropping-particle":"","parse-names":false,"suffix":""},{"dropping-particle":"","family":"Botrel","given":"Diego Alvarenga","non-dropping-particle":"","parse-names":false,"suffix":""}],"container-title":"Journal of Food Science and Technology","id":"ITEM-2","issue":"11","issued":{"date-parts":[["2019"]]},"page":"4972-4981","title":"Influence of modified starches as wall materials on the properties of spray-dried lemongrass oil","type":"article-journal","volume":"56"},"uris":["http://www.mendeley.com/documents/?uuid=b3d814b5-5e42-4796-85cf-608d89ca4806"]}],"mendeley":{"formattedCitation":"(Tan &lt;i&gt;et al.&lt;/i&gt;, 2016; Carvalho &lt;i&gt;et al.&lt;/i&gt;, 2019)","plainTextFormattedCitation":"(Tan et al., 2016; Carvalho et al., 2019)","previouslyFormattedCitation":"(Tan &lt;i&gt;et al.&lt;/i&gt;, 2016; Carvalho &lt;i&gt;et al.&lt;/i&gt;, 2019)"},"properties":{"noteIndex":0},"schema":"https://github.com/citation-style-language/schema/raw/master/csl-citation.json"}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(Tan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2016; Carvalho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2019)</w:t>
      </w:r>
      <w:r w:rsidR="00824660">
        <w:rPr>
          <w:rFonts w:ascii="Palatino Linotype" w:hAnsi="Palatino Linotype"/>
          <w:sz w:val="24"/>
          <w:szCs w:val="24"/>
        </w:rPr>
        <w:fldChar w:fldCharType="end"/>
      </w:r>
      <w:r w:rsidRPr="00824660">
        <w:rPr>
          <w:rFonts w:ascii="Palatino Linotype" w:hAnsi="Palatino Linotype"/>
          <w:sz w:val="24"/>
          <w:szCs w:val="24"/>
        </w:rPr>
        <w:t>. This is possible due to the high density of charged amine groups that the backbone possesses. The rapidly expanding body of research into the valuable physicochemical and biological properties of chitosan led to the discovery that chitosan is a cationic polysaccharide</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{"citationItems":[{"id":"ITEM-1","itemData":{"DOI":"10.1016/j.ijbiomac.2017.03.114","ISBN":"0141-8130","ISSN":"18790003","abstract":"The present study was aimed at investigating the efficacy of chitosan as a wall material for microencapsulation of squalene by spray drying for functional food applications. Based on different core to wall material ratio (1:1, 0.5:1 and 0.3:1 on w/w basis), emulsions were prepared and evaluated in terms of emulsion stability, particle size, zeta potential, polydispersity Index (PDI), rheology and microstructure. The optimized emulsion combination was spray dried and characterized, physically and chemically. The encapsulation efficiency of the powder was found to be 26 ± 0.6% whereas other properties such as particle size, zeta potential, water activity, hygroscopicity, Carr Index, Hausner ratio have shown satisfactory results. SEM analysis showed that the squalene microcapsules were smooth spherical particles free from dents and fissures. FTIR data further confirmed the encapsulation of squalene with chitosan. However, TGA, oxidative stability and accelerated Rancimat results showed that chitosan was not able to protect squalene from oxidation during storage. The results suggest that chitosan is not an appropriate wall material for microencapsulation of squalene and hence a combination of wall materials could be attempted for the encapsulation of squalene.","author":[{"dropping-particle":"","family":"Kumar","given":"Leksmi R.G.","non-dropping-particle":"","parse-names":false,"suffix":""},{"dropping-particle":"","family":"Chatterjee","given":"N. S.","non-dropping-particle":"","parse-names":false,"suffix":""},{"dropping-particle":"","family":"Tejpal","given":"C. S.","non-dropping-particle":"","parse-names":false,"suffix":""},{"dropping-particle":"V.","family":"Vishnu","given":"K.","non-dropping-particle":"","parse-names":false,"suffix":""},{"dropping-particle":"","family":"Anas","given":"K. K.","non-dropping-particle":"","parse-names":false,"suffix":""},{"dropping-particle":"","family":"Asha","given":"K. K.","non-dropping-particle":"","parse-names":false,"suffix":""},{"dropping-particle":"","family":"Anandan","given":"R.","non-dropping-particle":"","parse-names":false,"suffix":""},{"dropping-particle":"","family":"Mathew","given":"Suseela","non-dropping-particle":"","parse-names":false,"suffix":""}],"container-title":"International Journal of Biological Macromolecules","id":"ITEM-1","issued":{"date-parts":[["2017"]]},"page":"1986-1995","publisher":"Elsevier B.V.","title":"Evaluation of chitosan as a wall material for microencapsulation of squalene by spray drying: Characterization and oxidative stability studies","type":"article-journal","volume":"104"},"uris":["http://www.mendeley.com/documents/?uuid=92542350-0241-44ec-9253-18b7efd5668a"]},{"id":"ITEM-2","itemData":{"DOI":"10.1111/1750-3841.15488","ISSN":"17503841","PMID":"33067839","abstract":"Abstract: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Science","id":"ITEM-2","issue":"11","issued":{"date-parts":[["2020"]]},"page":"3874-3884","title":"A novel approach to develop spray-dried encapsulated curcumin powder from oil-in-water emulsions stabilized by combined surfactants and chitosan","type":"article-journal","volume":"85"},"uris":["http://www.mendeley.com/documents/?uuid=92822abf-eae1-4507-8e74-41bc41b47aec"]}],"mendeley":{"formattedCitation":"(Kumar &lt;i&gt;et al.&lt;/i&gt;, 2017; Hamad &lt;i&gt;et al.&lt;/i&gt;, 2020)","plainTextFormattedCitation":"(Kumar et al., 2017; Hamad et al., 2020)","previouslyFormattedCitation":"(Kumar &lt;i&gt;et al.&lt;/i&gt;, 2017; Hamad &lt;i&gt;et al.&lt;/i&gt;, 2020)"},"properties":{"noteIndex":0},"schema":"https://github.com/citation-style-language/schema/raw/master/csl-citation.json"}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(Kumar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2017;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00824660">
        <w:rPr>
          <w:rFonts w:ascii="Palatino Linotype" w:hAnsi="Palatino Linotype"/>
          <w:sz w:val="24"/>
          <w:szCs w:val="24"/>
        </w:rPr>
        <w:fldChar w:fldCharType="end"/>
      </w:r>
      <w:r w:rsidRPr="00824660">
        <w:rPr>
          <w:rFonts w:ascii="Palatino Linotype" w:hAnsi="Palatino Linotype"/>
          <w:sz w:val="24"/>
          <w:szCs w:val="24"/>
        </w:rPr>
        <w:t xml:space="preserve">. The chemical structures of chitin, chitosan, and chitin that has been deacetylated are depicted side-by-side in Figure 2, which shows the various ways in which these three types of </w:t>
      </w:r>
      <w:r w:rsidR="00052A5C" w:rsidRPr="00824660">
        <w:rPr>
          <w:rFonts w:ascii="Palatino Linotype" w:hAnsi="Palatino Linotype"/>
          <w:sz w:val="24"/>
          <w:szCs w:val="24"/>
        </w:rPr>
        <w:t>chitins</w:t>
      </w:r>
      <w:r w:rsidRPr="00824660">
        <w:rPr>
          <w:rFonts w:ascii="Palatino Linotype" w:hAnsi="Palatino Linotype"/>
          <w:sz w:val="24"/>
          <w:szCs w:val="24"/>
        </w:rPr>
        <w:t xml:space="preserve"> can differ from one another.</w:t>
      </w:r>
    </w:p>
    <w:p w14:paraId="40027CF2" w14:textId="5AC1AE6F" w:rsidR="00764BF4" w:rsidRPr="00824660" w:rsidRDefault="00764BF4" w:rsidP="00824660">
      <w:pPr>
        <w:spacing w:after="0" w:line="240" w:lineRule="auto"/>
        <w:ind w:firstLine="720"/>
        <w:jc w:val="both"/>
        <w:rPr>
          <w:rFonts w:ascii="Palatino Linotype" w:hAnsi="Palatino Linotype" w:cstheme="minorHAnsi"/>
          <w:sz w:val="24"/>
          <w:szCs w:val="24"/>
        </w:rPr>
      </w:pPr>
      <w:r w:rsidRPr="00824660">
        <w:rPr>
          <w:rFonts w:ascii="Palatino Linotype" w:hAnsi="Palatino Linotype" w:cstheme="minorHAnsi"/>
          <w:sz w:val="24"/>
          <w:szCs w:val="24"/>
        </w:rPr>
        <w:t xml:space="preserve">There is also the possibility that interactions between curcumin and polysaccharides will have an impact on loading efficiency. The influence that the presence of numerous layers of chitosan has on the physicochemical properties of </w:t>
      </w:r>
      <w:proofErr w:type="spellStart"/>
      <w:r w:rsidRPr="00824660">
        <w:rPr>
          <w:rFonts w:ascii="Palatino Linotype" w:hAnsi="Palatino Linotype" w:cstheme="minorHAnsi"/>
          <w:sz w:val="24"/>
          <w:szCs w:val="24"/>
        </w:rPr>
        <w:t>nanoemulsions</w:t>
      </w:r>
      <w:proofErr w:type="spellEnd"/>
      <w:r w:rsidRPr="00824660">
        <w:rPr>
          <w:rFonts w:ascii="Palatino Linotype" w:hAnsi="Palatino Linotype" w:cstheme="minorHAnsi"/>
          <w:sz w:val="24"/>
          <w:szCs w:val="24"/>
        </w:rPr>
        <w:t xml:space="preserve"> that are loaded with curcumin has been investigated. It was shown that the loading efficiency had increased to 95.1% when using curcumin at a concentration of 0.548 mg/mL, which was the concentration that was used</w:t>
      </w:r>
      <w:r w:rsidR="0080269F">
        <w:rPr>
          <w:rFonts w:ascii="Palatino Linotype" w:hAnsi="Palatino Linotype" w:cstheme="minorHAnsi"/>
          <w:sz w:val="24"/>
          <w:szCs w:val="24"/>
        </w:rPr>
        <w:t xml:space="preserve"> </w:t>
      </w:r>
      <w:r w:rsidR="0080269F">
        <w:rPr>
          <w:rFonts w:ascii="Palatino Linotype" w:hAnsi="Palatino Linotype" w:cstheme="minorHAnsi"/>
          <w:sz w:val="24"/>
          <w:szCs w:val="24"/>
        </w:rPr>
        <w:fldChar w:fldCharType="begin" w:fldLock="1"/>
      </w:r>
      <w:r w:rsidR="0080269F">
        <w:rPr>
          <w:rFonts w:ascii="Palatino Linotype" w:hAnsi="Palatino Linotype" w:cstheme="minorHAnsi"/>
          <w:sz w:val="24"/>
          <w:szCs w:val="24"/>
        </w:rPr>
        <w:instrText xml:space="preserve">ADDIN CSL_CITATION {"citationItems":[{"id":"ITEM-1","itemData":{"DOI":"10.1016/j.jcis.2005.09.023","ISBN":"0021-9797 (Print)\\n0021-9797 (Linking)","ISSN":"00219797","PMID":"16203009","abstract":"The objective of this study was to establish the influence of polyelectrolyte characteristics (molecular weight and charge density) on the properties of oil-in-water emulsions containing oil droplets surrounded by surfactant-polyelectrolyte layers. A surfactant-stabilized emulsion containing small droplets (d32≈0.3 μm) was prepared by homogenizing 20 wt% corn oil with 80 wt% emulsifier solution (20 mM SDS or 2.5 wt% Tween 20, 100 mM acetate buffer, pH 3) using a high-pressure valve homogenizer. This primary emulsion was then diluted with various chitosan solutions to produce secondary emulsions with a range of chitosan concentrations (3 wt% corn oil, 0-1 wt% chitosan). The influence of the molecular characteristics of chitosan on the properties of these emulsions was examined by using chitosan ingredients with different molecular weights (MW </w:instrText>
      </w:r>
      <w:r w:rsidR="0080269F">
        <w:rPr>
          <w:rFonts w:ascii="Cambria Math" w:hAnsi="Cambria Math" w:cs="Cambria Math"/>
          <w:sz w:val="24"/>
          <w:szCs w:val="24"/>
        </w:rPr>
        <w:instrText>∼</w:instrText>
      </w:r>
      <w:r w:rsidR="0080269F">
        <w:rPr>
          <w:rFonts w:ascii="Palatino Linotype" w:hAnsi="Palatino Linotype" w:cstheme="minorHAnsi"/>
          <w:sz w:val="24"/>
          <w:szCs w:val="24"/>
        </w:rPr>
        <w:instrText xml:space="preserve"> 15, 145, and 200 kDa) and degree of deacetylation (DDA </w:instrText>
      </w:r>
      <w:r w:rsidR="0080269F">
        <w:rPr>
          <w:rFonts w:ascii="Cambria Math" w:hAnsi="Cambria Math" w:cs="Cambria Math"/>
          <w:sz w:val="24"/>
          <w:szCs w:val="24"/>
        </w:rPr>
        <w:instrText>∼</w:instrText>
      </w:r>
      <w:r w:rsidR="0080269F">
        <w:rPr>
          <w:rFonts w:ascii="Palatino Linotype" w:hAnsi="Palatino Linotype" w:cstheme="minorHAnsi"/>
          <w:sz w:val="24"/>
          <w:szCs w:val="24"/>
        </w:rPr>
        <w:instrText xml:space="preserve"> 40, 77, and 92%). The electrical charge and particle size of the secondary emulsions were then measured. Extensive droplet aggregation occurred when the chitosan concentration was below the amount required to saturate the droplet surfaces, but stable emulsions could be formed at higher chitosan concentrations. The ζ-potential and mean diameter (d32) of the particles in the secondary emulsions was not strongly influenced by chitosan MW, however the chitosan with the lowest DDA (40%) produced droplets with smaller mean diameters and ζ-potentials than the other two DDA samples examined. Interestingly, we found that stable multilayer emulsions could be formed by mixing medium or high MW chitosan with an emulsion stabilized by a non-ionic surfactant (Tween 20) due to the fact the initial droplets had some negative charge. The information obtained from this study is useful for preparing emulsions stabilized by multilayer interfacial layers. © 2005 Elsevier Inc. All rights reserved.","author":[{"dropping-particle":"","family":"Mun","given":"Saehun","non-dropping-particle":"","parse-names":false,"suffix":""},{"dropping-particle":"","family":"Decker","given":"Eric A.","non-dropping-particle":"","parse-names":false,"suffix":""},{"dropping-particle":"","family":"Mcclements","given":"D. Julian","non-dropping-particle":"","parse-names":false,"suffix":""}],"container-title":"Journal of Colloid and Interface Science","id":"ITEM-1","issue":"2","issued":{"date-parts":[["2006"]]},"page":"581-590","title":"Effect of molecular weight and degree of deacetylation of chitosan on the formation of oil-in-water emulsions stabilized by surfactant-chitosan membranes","type":"article-journal","volume":"296"},"uris":["http://www.mendeley.com/documents/?uuid=ed39fa7f-c533-4cdb-97bb-ae1bc1efd033"]},{"id":"ITEM-2","itemData":{"DOI":"10.1016/j.foodhyd.2018.06.015","ISSN":"0268005X","abstract":"The behaviour of lactoferrin (Lf) – glycomacropeptide (GMP) nanohydrogels with and without a chitosan coating was evaluated during gastrointestinal digestion. The application of a chitosan coating allowed to reduce the protein degradation from 86% to 76% for Lf and from 71% to 53% for GMP. Protein bioaccessibility results showed that in nanohydrogels with chitosan coating 23% of Lf and 40% of GMP remained intact until absorption. Based on these results, the bioaccessibility of two different bioactive compounds encapsulated in Lf-GMP nanohydrogels with chitosan coating was evaluated during gastrointestinal digestion. Curcumin was used as lipophilic model compound and caffeine as a hydrophilic model compound. Bioaccessibility of curcumin in coated nanohydrogels was 72% while the corresponding value for curcumin in free form only reached 66%. It was also observed that under simulated gastric and intestinal conditions, free curcumin lost around 68% of its antioxidant activity while when incorporated into nanohydrogels only 30% of this activity was lost. Results also showed that the bioaccessibility of caffeine encapsulated in coated nanohydrogels was 63% while caffeine in free form only reached 59%.","author":[{"dropping-particle":"","family":"Bourbon","given":"Ana I.","non-dropping-particle":"","parse-names":false,"suffix":""},{"dropping-particle":"","family":"Pinheiro","given":"Ana C.","non-dropping-particle":"","parse-names":false,"suffix":""},{"dropping-particle":"","family":"Cerqueira","given":"Miguel A.","non-dropping-particle":"","parse-names":false,"suffix":""},{"dropping-particle":"","family":"Vicente","given":"António A.","non-dropping-particle":"","parse-names":false,"suffix":""}],"container-title":"Food Hydrocolloids","id":"ITEM-2","issue":"February","issued":{"date-parts":[["2018"]]},"page":"267-275","publisher":"Elsevier Ltd","title":"In vitro digestion of lactoferrin-glycomacropeptide nanohydrogels incorporating bioactive compounds: Effect of a chitosan coating","type":"article-journal","volume":"84"},"uris":["http://www.mendeley.com/documents/?uuid=2bfbac75-fe91-4ecd-b255-7fd6ba93fe4d"]},{"id":"ITEM-3","itemData":{"DOI":"10.1016/j.carbpol.2011.01.005","ISBN":"0144-8617","ISSN":"01448617","abstract":"Nanoformulation of curcumin, (a low molecular weight hydrophobic drug) was prepared by using dextran sulphate and chitosan. The developed nanoparticles were characterized by Dynamic Light Scattering measurements (DLS), Scanning Electron Microscopy (SEM), Atomic Force Microscopy (AFM), Fourier Transform Infrared Spectroscopy (FT-IR), X-ray Diffraction (XRD) and Differential Thermal Analysis (DTA). The prepared system showed an average size of 200-220 nm with a zeta potential value of -30 mV and showed </w:instrText>
      </w:r>
      <w:r w:rsidR="0080269F">
        <w:rPr>
          <w:rFonts w:ascii="Cambria Math" w:hAnsi="Cambria Math" w:cs="Cambria Math"/>
          <w:sz w:val="24"/>
          <w:szCs w:val="24"/>
        </w:rPr>
        <w:instrText>∼</w:instrText>
      </w:r>
      <w:r w:rsidR="0080269F">
        <w:rPr>
          <w:rFonts w:ascii="Palatino Linotype" w:hAnsi="Palatino Linotype" w:cstheme="minorHAnsi"/>
          <w:sz w:val="24"/>
          <w:szCs w:val="24"/>
        </w:rPr>
        <w:instrText>74% drug entrapment efficiency. In vitro drug release studies showed a controlled and pH dependent curcumin release over a period of one week. The cytocompatibility of bare nanoparticles was verified by MTT assay; cellular internalisation of curcumin loaded nanoparticles was confirmed by fluorescent imaging and quantified spectrophotometrically, anticancer activity of curcumin loaded nanoparticles was proved by MTT assay and reconfirmed by apoptosis assay (FACS). The results showed preferential killing of cancer cells compared to normal cells by the curcumin-loaded nanoparticles. Thus the developed curcumin loaded nanoformulation could be a promising candidate in cancer therapy. © 2011 Elsevier Ltd. All rights reserved.","author":[{"dropping-particle":"","family":"Anitha","given":"A.","non-dropping-particle":"","parse-names":false,"suffix":""},{"dropping-particle":"","family":"Deepagan","given":"V. G.","non-dropping-particle":"","parse-names":false,"suffix":""},{"dropping-particle":"V.","family":"Divya Rani","given":"V.","non-dropping-particle":"","parse-names":false,"suffix":""},{"dropping-particle":"","family":"Menon","given":"Deepthy","non-dropping-particle":"","parse-names":false,"suffix":""},{"dropping-particle":"V.","family":"Nair","given":"S.","non-dropping-particle":"","parse-names":false,"suffix":""},{"dropping-particle":"","family":"Jayakumar","given":"R.","non-dropping-particle":"","parse-names":false,"suffix":""}],"container-title":"Carbohydrate Polymers","id":"ITEM-3","issue":"3","issued":{"date-parts":[["2011"]]},"page":"1158-1164","publisher":"Elsevier Ltd.","title":"Preparation, characterization, in vitro drug release and biological studies of curcumin loaded dextran sulphate-chitosan nanoparticles","type":"article-journal","volume":"84"},"uris":["http://www.mendeley.com/documents/?uuid=6547f541-d063-4f43-a464-b0b684cad4a6"]}],"mendeley":{"formattedCitation":"(Mun, Decker and Mcclements, 2006; Anitha &lt;i&gt;et al.&lt;/i&gt;, 2011; Bourbon &lt;i&gt;et al.&lt;/i&gt;, 2018)","plainTextFormattedCitation":"(Mun, Decker and Mcclements, 2006; Anitha et al., 2011; Bourbon et al., 2018)","previouslyFormattedCitation":"(Mun, Decker and Mcclements, 2006; Anitha &lt;i&gt;et al.&lt;/i&gt;, 2011; Bourbon &lt;i&gt;et al.&lt;/i&gt;, 2018)"},"properties":{"noteIndex":0},"schema":"https://github.com/citation-style-language/schema/raw/master/csl-citation.json"}</w:instrText>
      </w:r>
      <w:r w:rsidR="0080269F">
        <w:rPr>
          <w:rFonts w:ascii="Palatino Linotype" w:hAnsi="Palatino Linotype" w:cstheme="minorHAnsi"/>
          <w:sz w:val="24"/>
          <w:szCs w:val="24"/>
        </w:rPr>
        <w:fldChar w:fldCharType="separate"/>
      </w:r>
      <w:r w:rsidR="0080269F" w:rsidRPr="0080269F">
        <w:rPr>
          <w:rFonts w:ascii="Palatino Linotype" w:hAnsi="Palatino Linotype" w:cstheme="minorHAnsi"/>
          <w:noProof/>
          <w:sz w:val="24"/>
          <w:szCs w:val="24"/>
        </w:rPr>
        <w:t xml:space="preserve">(Mun, Decker and Mcclements, 2006; Anitha </w:t>
      </w:r>
      <w:r w:rsidR="0080269F" w:rsidRPr="0080269F">
        <w:rPr>
          <w:rFonts w:ascii="Palatino Linotype" w:hAnsi="Palatino Linotype" w:cstheme="minorHAnsi"/>
          <w:i/>
          <w:noProof/>
          <w:sz w:val="24"/>
          <w:szCs w:val="24"/>
        </w:rPr>
        <w:t>et al.</w:t>
      </w:r>
      <w:r w:rsidR="0080269F" w:rsidRPr="0080269F">
        <w:rPr>
          <w:rFonts w:ascii="Palatino Linotype" w:hAnsi="Palatino Linotype" w:cstheme="minorHAnsi"/>
          <w:noProof/>
          <w:sz w:val="24"/>
          <w:szCs w:val="24"/>
        </w:rPr>
        <w:t xml:space="preserve">, 2011; Bourbon </w:t>
      </w:r>
      <w:r w:rsidR="0080269F" w:rsidRPr="0080269F">
        <w:rPr>
          <w:rFonts w:ascii="Palatino Linotype" w:hAnsi="Palatino Linotype" w:cstheme="minorHAnsi"/>
          <w:i/>
          <w:noProof/>
          <w:sz w:val="24"/>
          <w:szCs w:val="24"/>
        </w:rPr>
        <w:t>et al.</w:t>
      </w:r>
      <w:r w:rsidR="0080269F" w:rsidRPr="0080269F">
        <w:rPr>
          <w:rFonts w:ascii="Palatino Linotype" w:hAnsi="Palatino Linotype" w:cstheme="minorHAnsi"/>
          <w:noProof/>
          <w:sz w:val="24"/>
          <w:szCs w:val="24"/>
        </w:rPr>
        <w:t>, 2018)</w:t>
      </w:r>
      <w:r w:rsidR="0080269F">
        <w:rPr>
          <w:rFonts w:ascii="Palatino Linotype" w:hAnsi="Palatino Linotype" w:cstheme="minorHAnsi"/>
          <w:sz w:val="24"/>
          <w:szCs w:val="24"/>
        </w:rPr>
        <w:fldChar w:fldCharType="end"/>
      </w:r>
      <w:r w:rsidRPr="00824660">
        <w:rPr>
          <w:rFonts w:ascii="Palatino Linotype" w:hAnsi="Palatino Linotype" w:cstheme="minorHAnsi"/>
          <w:sz w:val="24"/>
          <w:szCs w:val="24"/>
        </w:rPr>
        <w:t xml:space="preserve">. The electrostatic interaction between the positively charged cationic groups located on the poly-glucosamine chains of the molecule and the negatively charged anionic curcumin may have been facilitated by the interactions between the keto groups of curcumin in either the di-keto or the cis–enol form, and the amine groups of chitosan, which is rich in protonated amino groups. This was one of the hypotheses that could be tested to explain the findings. In addition, it was found that the hydrophobic interactions of curcumin with chitosan were more pronounced at physiological pH (7.4) conditions in the presence of nonionic surfactant </w:t>
      </w:r>
      <w:r w:rsidRPr="00824660">
        <w:rPr>
          <w:rFonts w:ascii="Palatino Linotype" w:hAnsi="Palatino Linotype" w:cstheme="minorHAnsi"/>
          <w:sz w:val="24"/>
          <w:szCs w:val="24"/>
        </w:rPr>
        <w:lastRenderedPageBreak/>
        <w:t xml:space="preserve">(Tween 80) than in the presence of cationic surfactants. This was the case regardless of </w:t>
      </w:r>
      <w:proofErr w:type="gramStart"/>
      <w:r w:rsidRPr="00824660">
        <w:rPr>
          <w:rFonts w:ascii="Palatino Linotype" w:hAnsi="Palatino Linotype" w:cstheme="minorHAnsi"/>
          <w:sz w:val="24"/>
          <w:szCs w:val="24"/>
        </w:rPr>
        <w:t>whether or not</w:t>
      </w:r>
      <w:proofErr w:type="gramEnd"/>
      <w:r w:rsidRPr="00824660">
        <w:rPr>
          <w:rFonts w:ascii="Palatino Linotype" w:hAnsi="Palatino Linotype" w:cstheme="minorHAnsi"/>
          <w:sz w:val="24"/>
          <w:szCs w:val="24"/>
        </w:rPr>
        <w:t xml:space="preserve"> cationic surfactants were present. It made no difference whether the conditions were carried out in the presence of cationic or nonionic surfactants; this result was always the same. It was hypothesized that the process of binding was mediated in Tween 80 systems by the formation of hydrophobic, electrostatic, and hydrogen bonds between curcumin and chitosan (</w:t>
      </w:r>
      <w:r w:rsidRPr="0080269F">
        <w:rPr>
          <w:rFonts w:ascii="Palatino Linotype" w:hAnsi="Palatino Linotype" w:cstheme="minorHAnsi"/>
          <w:b/>
          <w:bCs/>
          <w:sz w:val="24"/>
          <w:szCs w:val="24"/>
        </w:rPr>
        <w:t>Figure 3</w:t>
      </w:r>
      <w:r w:rsidRPr="00824660">
        <w:rPr>
          <w:rFonts w:ascii="Palatino Linotype" w:hAnsi="Palatino Linotype" w:cstheme="minorHAnsi"/>
          <w:sz w:val="24"/>
          <w:szCs w:val="24"/>
        </w:rPr>
        <w:t>), and presented evidence to support this hypothesis</w:t>
      </w:r>
      <w:r w:rsidR="00824660">
        <w:rPr>
          <w:rFonts w:ascii="Palatino Linotype" w:hAnsi="Palatino Linotype" w:cstheme="minorHAnsi"/>
          <w:sz w:val="24"/>
          <w:szCs w:val="24"/>
        </w:rPr>
        <w:t xml:space="preserve"> </w:t>
      </w:r>
      <w:r w:rsidR="00824660">
        <w:rPr>
          <w:rFonts w:ascii="Palatino Linotype" w:hAnsi="Palatino Linotype" w:cstheme="minorHAnsi"/>
          <w:sz w:val="24"/>
          <w:szCs w:val="24"/>
        </w:rPr>
        <w:fldChar w:fldCharType="begin" w:fldLock="1"/>
      </w:r>
      <w:r w:rsidR="0080269F">
        <w:rPr>
          <w:rFonts w:ascii="Palatino Linotype" w:hAnsi="Palatino Linotype" w:cstheme="minorHAnsi"/>
          <w:sz w:val="24"/>
          <w:szCs w:val="24"/>
        </w:rPr>
        <w:instrText>ADDIN CSL_CITATION {"citationItems":[{"id":"ITEM-1","itemData":{"DOI":"10.1016/j.molliq.2017.08.024","ISSN":"0167-7322","author":[{"dropping-particle":"","family":"Chanphai","given":"P","non-dropping-particle":"","parse-names":false,"suffix":""}],"container-title":"Journal of Molecular Liquids","id":"ITEM-1","issued":{"date-parts":[["2017"]]},"page":"108-114","publisher":"Elsevier B.V.","title":"Probing the binding of resveratrol , genistein and curcumin with chitosan nanoparticles","type":"article-journal","volume":"243"},"uris":["http://www.mendeley.com/documents/?uuid=cb62c677-66c4-4f55-a152-c3b953f68202"]}],"mendeley":{"formattedCitation":"(Chanphai, 2017)","plainTextFormattedCitation":"(Chanphai, 2017)","previouslyFormattedCitation":"(Chanphai, 2017)"},"properties":{"noteIndex":0},"schema":"https://github.com/citation-style-language/schema/raw/master/csl-citation.json"}</w:instrText>
      </w:r>
      <w:r w:rsidR="00824660">
        <w:rPr>
          <w:rFonts w:ascii="Palatino Linotype" w:hAnsi="Palatino Linotype" w:cstheme="minorHAnsi"/>
          <w:sz w:val="24"/>
          <w:szCs w:val="24"/>
        </w:rPr>
        <w:fldChar w:fldCharType="separate"/>
      </w:r>
      <w:r w:rsidR="007A1605" w:rsidRPr="007A1605">
        <w:rPr>
          <w:rFonts w:ascii="Palatino Linotype" w:hAnsi="Palatino Linotype" w:cstheme="minorHAnsi"/>
          <w:noProof/>
          <w:sz w:val="24"/>
          <w:szCs w:val="24"/>
        </w:rPr>
        <w:t>(Chanphai, 2017)</w:t>
      </w:r>
      <w:r w:rsidR="00824660">
        <w:rPr>
          <w:rFonts w:ascii="Palatino Linotype" w:hAnsi="Palatino Linotype" w:cstheme="minorHAnsi"/>
          <w:sz w:val="24"/>
          <w:szCs w:val="24"/>
        </w:rPr>
        <w:fldChar w:fldCharType="end"/>
      </w:r>
      <w:r w:rsidRPr="00824660">
        <w:rPr>
          <w:rFonts w:ascii="Palatino Linotype" w:hAnsi="Palatino Linotype" w:cstheme="minorHAnsi"/>
          <w:sz w:val="24"/>
          <w:szCs w:val="24"/>
        </w:rPr>
        <w:t>.</w:t>
      </w:r>
    </w:p>
    <w:p w14:paraId="274292B2" w14:textId="639E914F" w:rsidR="00764BF4" w:rsidRPr="00824660" w:rsidRDefault="0080269F" w:rsidP="00824660">
      <w:pPr>
        <w:spacing w:after="0" w:line="240" w:lineRule="auto"/>
        <w:jc w:val="both"/>
        <w:rPr>
          <w:rFonts w:ascii="Palatino Linotype" w:hAnsi="Palatino Linotype"/>
          <w:sz w:val="24"/>
          <w:szCs w:val="24"/>
        </w:rPr>
      </w:pPr>
      <w:r w:rsidRPr="00824660">
        <w:rPr>
          <w:rFonts w:ascii="Palatino Linotype" w:hAnsi="Palatino Linotype" w:cstheme="minorHAnsi"/>
          <w:noProof/>
          <w:color w:val="231F20"/>
          <w:sz w:val="24"/>
          <w:szCs w:val="24"/>
        </w:rPr>
        <w:drawing>
          <wp:anchor distT="0" distB="0" distL="114300" distR="114300" simplePos="0" relativeHeight="251659264" behindDoc="1" locked="0" layoutInCell="1" allowOverlap="1" wp14:anchorId="493A75E3" wp14:editId="21447C0E">
            <wp:simplePos x="0" y="0"/>
            <wp:positionH relativeFrom="column">
              <wp:posOffset>1300480</wp:posOffset>
            </wp:positionH>
            <wp:positionV relativeFrom="paragraph">
              <wp:posOffset>151765</wp:posOffset>
            </wp:positionV>
            <wp:extent cx="2843148" cy="2950234"/>
            <wp:effectExtent l="0" t="0" r="0" b="254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3148" cy="2950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F4A5C" w14:textId="16F22C6A" w:rsidR="00052A5C" w:rsidRPr="00824660" w:rsidRDefault="00052A5C" w:rsidP="0080269F">
      <w:pPr>
        <w:spacing w:after="0" w:line="240" w:lineRule="auto"/>
        <w:ind w:firstLine="720"/>
        <w:jc w:val="both"/>
        <w:rPr>
          <w:rFonts w:ascii="Palatino Linotype" w:hAnsi="Palatino Linotype" w:cstheme="minorHAnsi"/>
          <w:color w:val="231F20"/>
          <w:sz w:val="24"/>
          <w:szCs w:val="24"/>
        </w:rPr>
      </w:pPr>
    </w:p>
    <w:p w14:paraId="02846B6A" w14:textId="77777777" w:rsidR="00052A5C" w:rsidRPr="00824660" w:rsidRDefault="00052A5C" w:rsidP="00824660">
      <w:pPr>
        <w:spacing w:after="0" w:line="240" w:lineRule="auto"/>
        <w:jc w:val="both"/>
        <w:rPr>
          <w:rFonts w:ascii="Palatino Linotype" w:hAnsi="Palatino Linotype" w:cstheme="minorHAnsi"/>
          <w:color w:val="231F20"/>
          <w:sz w:val="24"/>
          <w:szCs w:val="24"/>
        </w:rPr>
      </w:pPr>
    </w:p>
    <w:p w14:paraId="2D1979A2" w14:textId="77777777" w:rsidR="00052A5C" w:rsidRPr="00824660" w:rsidRDefault="00052A5C" w:rsidP="00824660">
      <w:pPr>
        <w:spacing w:after="0" w:line="240" w:lineRule="auto"/>
        <w:jc w:val="both"/>
        <w:rPr>
          <w:rFonts w:ascii="Palatino Linotype" w:hAnsi="Palatino Linotype" w:cstheme="minorHAnsi"/>
          <w:color w:val="231F20"/>
          <w:sz w:val="24"/>
          <w:szCs w:val="24"/>
        </w:rPr>
      </w:pPr>
    </w:p>
    <w:p w14:paraId="455C0833" w14:textId="77777777" w:rsidR="00052A5C" w:rsidRPr="00824660" w:rsidRDefault="00052A5C" w:rsidP="00824660">
      <w:pPr>
        <w:spacing w:after="0" w:line="240" w:lineRule="auto"/>
        <w:jc w:val="both"/>
        <w:rPr>
          <w:rFonts w:ascii="Palatino Linotype" w:hAnsi="Palatino Linotype" w:cstheme="minorHAnsi"/>
          <w:color w:val="231F20"/>
          <w:sz w:val="24"/>
          <w:szCs w:val="24"/>
        </w:rPr>
      </w:pPr>
    </w:p>
    <w:p w14:paraId="76B3623E" w14:textId="77777777" w:rsidR="00052A5C" w:rsidRPr="00824660" w:rsidRDefault="00052A5C" w:rsidP="00824660">
      <w:pPr>
        <w:spacing w:after="0" w:line="240" w:lineRule="auto"/>
        <w:jc w:val="both"/>
        <w:rPr>
          <w:rFonts w:ascii="Palatino Linotype" w:hAnsi="Palatino Linotype" w:cstheme="minorHAnsi"/>
          <w:b/>
          <w:sz w:val="24"/>
          <w:szCs w:val="24"/>
        </w:rPr>
      </w:pPr>
    </w:p>
    <w:p w14:paraId="5ACCDCEF" w14:textId="77777777" w:rsidR="00052A5C" w:rsidRPr="00824660" w:rsidRDefault="00052A5C" w:rsidP="00824660">
      <w:pPr>
        <w:spacing w:after="0" w:line="240" w:lineRule="auto"/>
        <w:jc w:val="both"/>
        <w:rPr>
          <w:rFonts w:ascii="Palatino Linotype" w:hAnsi="Palatino Linotype" w:cstheme="minorHAnsi"/>
          <w:b/>
          <w:sz w:val="24"/>
          <w:szCs w:val="24"/>
        </w:rPr>
      </w:pPr>
    </w:p>
    <w:p w14:paraId="004492C5" w14:textId="77777777" w:rsidR="00052A5C" w:rsidRPr="00824660" w:rsidRDefault="00052A5C" w:rsidP="00824660">
      <w:pPr>
        <w:spacing w:after="0" w:line="240" w:lineRule="auto"/>
        <w:jc w:val="both"/>
        <w:rPr>
          <w:rFonts w:ascii="Palatino Linotype" w:hAnsi="Palatino Linotype" w:cstheme="minorHAnsi"/>
          <w:b/>
          <w:sz w:val="24"/>
          <w:szCs w:val="24"/>
        </w:rPr>
      </w:pPr>
    </w:p>
    <w:p w14:paraId="61BF5027" w14:textId="77777777" w:rsidR="00052A5C" w:rsidRPr="00824660" w:rsidRDefault="00052A5C" w:rsidP="00824660">
      <w:pPr>
        <w:spacing w:after="0" w:line="240" w:lineRule="auto"/>
        <w:jc w:val="both"/>
        <w:rPr>
          <w:rFonts w:ascii="Palatino Linotype" w:hAnsi="Palatino Linotype" w:cstheme="minorHAnsi"/>
          <w:b/>
          <w:sz w:val="24"/>
          <w:szCs w:val="24"/>
        </w:rPr>
      </w:pPr>
    </w:p>
    <w:p w14:paraId="0372D80B" w14:textId="77777777" w:rsidR="00052A5C" w:rsidRPr="00824660" w:rsidRDefault="00052A5C" w:rsidP="00824660">
      <w:pPr>
        <w:spacing w:after="0" w:line="240" w:lineRule="auto"/>
        <w:jc w:val="both"/>
        <w:rPr>
          <w:rFonts w:ascii="Palatino Linotype" w:hAnsi="Palatino Linotype" w:cstheme="minorHAnsi"/>
          <w:b/>
          <w:sz w:val="24"/>
          <w:szCs w:val="24"/>
        </w:rPr>
      </w:pPr>
    </w:p>
    <w:p w14:paraId="67D6C0C3" w14:textId="7A4FE292" w:rsidR="00052A5C" w:rsidRDefault="00052A5C" w:rsidP="00824660">
      <w:pPr>
        <w:spacing w:after="0" w:line="240" w:lineRule="auto"/>
        <w:jc w:val="both"/>
        <w:rPr>
          <w:rFonts w:ascii="Palatino Linotype" w:hAnsi="Palatino Linotype" w:cstheme="minorHAnsi"/>
          <w:b/>
          <w:sz w:val="24"/>
          <w:szCs w:val="24"/>
        </w:rPr>
      </w:pPr>
    </w:p>
    <w:p w14:paraId="65B3EA15" w14:textId="422808F6" w:rsidR="00824660" w:rsidRDefault="00824660" w:rsidP="00824660">
      <w:pPr>
        <w:spacing w:after="0" w:line="240" w:lineRule="auto"/>
        <w:jc w:val="both"/>
        <w:rPr>
          <w:rFonts w:ascii="Palatino Linotype" w:hAnsi="Palatino Linotype" w:cstheme="minorHAnsi"/>
          <w:b/>
          <w:sz w:val="24"/>
          <w:szCs w:val="24"/>
        </w:rPr>
      </w:pPr>
    </w:p>
    <w:p w14:paraId="14EC9D56" w14:textId="545CA928" w:rsidR="00824660" w:rsidRDefault="00824660" w:rsidP="00824660">
      <w:pPr>
        <w:spacing w:after="0" w:line="240" w:lineRule="auto"/>
        <w:jc w:val="both"/>
        <w:rPr>
          <w:rFonts w:ascii="Palatino Linotype" w:hAnsi="Palatino Linotype" w:cstheme="minorHAnsi"/>
          <w:b/>
          <w:sz w:val="24"/>
          <w:szCs w:val="24"/>
        </w:rPr>
      </w:pPr>
    </w:p>
    <w:p w14:paraId="01D2573A" w14:textId="77777777" w:rsidR="00824660" w:rsidRPr="00824660" w:rsidRDefault="00824660" w:rsidP="00824660">
      <w:pPr>
        <w:spacing w:after="0" w:line="240" w:lineRule="auto"/>
        <w:jc w:val="both"/>
        <w:rPr>
          <w:rFonts w:ascii="Palatino Linotype" w:hAnsi="Palatino Linotype" w:cstheme="minorHAnsi"/>
          <w:b/>
          <w:sz w:val="24"/>
          <w:szCs w:val="24"/>
        </w:rPr>
      </w:pPr>
    </w:p>
    <w:p w14:paraId="34ADDD78" w14:textId="77777777" w:rsidR="00052A5C" w:rsidRPr="00824660" w:rsidRDefault="00052A5C" w:rsidP="00824660">
      <w:pPr>
        <w:spacing w:after="0" w:line="240" w:lineRule="auto"/>
        <w:jc w:val="both"/>
        <w:rPr>
          <w:rFonts w:ascii="Palatino Linotype" w:hAnsi="Palatino Linotype" w:cstheme="minorHAnsi"/>
          <w:b/>
          <w:sz w:val="24"/>
          <w:szCs w:val="24"/>
        </w:rPr>
      </w:pPr>
    </w:p>
    <w:p w14:paraId="0D161C43" w14:textId="342C3170" w:rsidR="00052A5C" w:rsidRPr="00824660" w:rsidRDefault="00052A5C" w:rsidP="00824660">
      <w:pPr>
        <w:spacing w:after="0" w:line="240" w:lineRule="auto"/>
        <w:jc w:val="both"/>
        <w:rPr>
          <w:rFonts w:ascii="Palatino Linotype" w:hAnsi="Palatino Linotype" w:cstheme="minorHAnsi"/>
          <w:sz w:val="24"/>
          <w:szCs w:val="24"/>
        </w:rPr>
      </w:pPr>
      <w:r w:rsidRPr="00824660">
        <w:rPr>
          <w:rFonts w:ascii="Palatino Linotype" w:hAnsi="Palatino Linotype" w:cstheme="minorHAnsi"/>
          <w:b/>
          <w:sz w:val="24"/>
          <w:szCs w:val="24"/>
        </w:rPr>
        <w:t xml:space="preserve">Figure 2. </w:t>
      </w:r>
      <w:r w:rsidRPr="00824660">
        <w:rPr>
          <w:rFonts w:ascii="Palatino Linotype" w:hAnsi="Palatino Linotype" w:cstheme="minorHAnsi"/>
          <w:sz w:val="24"/>
          <w:szCs w:val="24"/>
        </w:rPr>
        <w:t xml:space="preserve">Molecular structures of chitin, chitosan, and protonated chitosan polymer </w:t>
      </w:r>
      <w:r w:rsidRPr="00824660">
        <w:rPr>
          <w:rFonts w:ascii="Palatino Linotype" w:hAnsi="Palatino Linotype" w:cstheme="minorHAnsi"/>
          <w:sz w:val="24"/>
          <w:szCs w:val="24"/>
        </w:rPr>
        <w:fldChar w:fldCharType="begin" w:fldLock="1"/>
      </w:r>
      <w:r w:rsidR="0080269F">
        <w:rPr>
          <w:rFonts w:ascii="Palatino Linotype" w:hAnsi="Palatino Linotype" w:cstheme="minorHAnsi"/>
          <w:sz w:val="24"/>
          <w:szCs w:val="24"/>
        </w:rPr>
        <w:instrText>ADDIN CSL_CITATION {"citationItems":[{"id":"ITEM-1","itemData":{"DOI":"10.3390/ijms12021175","ISSN":"14220067","PMID":"21541051","abstract":"Developing biofoams constitutes a challenging issue for several applications. The present study focuses on the development of a chitosan-based biofoam. Solutions of chitosan in acetic acid were dried under vacuum to generate foams with high-order structures. Chitosan concentration influenced significantly the morphology of developed porosity and the organization of pores in the material. Physico-chemical characterizations were performed to investigate the effects of chitosan concentration on density and thermal conductivity of foams. Even if chitosan-based biofoams exhibit interesting insulating properties (typically around 0.06 W·m(-1)·K(-1)), it has been shown that their durabilities are limited when submitted to a wet media. So, a way of application consists to elaborate a ceramic material with open porosity from a slurry prepared with an organic solvent infiltrating the porous network of the foam.","author":[{"dropping-particle":"","family":"Mathias","given":"Jean Denis","non-dropping-particle":"","parse-names":false,"suffix":""},{"dropping-particle":"","family":"Tessier-Doyen","given":"Nicolas","non-dropping-particle":"","parse-names":false,"suffix":""},{"dropping-particle":"","family":"Michaud","given":"Philippe","non-dropping-particle":"","parse-names":false,"suffix":""}],"container-title":"International Journal of Molecular Sciences","id":"ITEM-1","issue":"2","issued":{"date-parts":[["2011"]]},"page":"1175-1186","title":"Development of a chitosan-based biofoam: Application to the processing of a porous ceramic material","type":"article-journal","volume":"12"},"uris":["http://www.mendeley.com/documents/?uuid=685108bc-6510-411c-8e36-4cd14b707b9a"]}],"mendeley":{"formattedCitation":"(Mathias, Tessier-Doyen and Michaud, 2011)","plainTextFormattedCitation":"(Mathias, Tessier-Doyen and Michaud, 2011)","previouslyFormattedCitation":"(Mathias, Tessier-Doyen and Michaud, 2011)"},"properties":{"noteIndex":0},"schema":"https://github.com/citation-style-language/schema/raw/master/csl-citation.json"}</w:instrText>
      </w:r>
      <w:r w:rsidRPr="00824660">
        <w:rPr>
          <w:rFonts w:ascii="Palatino Linotype" w:hAnsi="Palatino Linotype" w:cstheme="minorHAnsi"/>
          <w:sz w:val="24"/>
          <w:szCs w:val="24"/>
        </w:rPr>
        <w:fldChar w:fldCharType="separate"/>
      </w:r>
      <w:r w:rsidR="007A1605" w:rsidRPr="007A1605">
        <w:rPr>
          <w:rFonts w:ascii="Palatino Linotype" w:hAnsi="Palatino Linotype" w:cstheme="minorHAnsi"/>
          <w:noProof/>
          <w:sz w:val="24"/>
          <w:szCs w:val="24"/>
        </w:rPr>
        <w:t>(Mathias, Tessier-Doyen and Michaud, 2011)</w:t>
      </w:r>
      <w:r w:rsidRPr="00824660">
        <w:rPr>
          <w:rFonts w:ascii="Palatino Linotype" w:hAnsi="Palatino Linotype" w:cstheme="minorHAnsi"/>
          <w:sz w:val="24"/>
          <w:szCs w:val="24"/>
        </w:rPr>
        <w:fldChar w:fldCharType="end"/>
      </w:r>
      <w:r w:rsidRPr="00824660">
        <w:rPr>
          <w:rFonts w:ascii="Palatino Linotype" w:hAnsi="Palatino Linotype" w:cstheme="minorHAnsi"/>
          <w:sz w:val="24"/>
          <w:szCs w:val="24"/>
        </w:rPr>
        <w:t>.</w:t>
      </w:r>
    </w:p>
    <w:p w14:paraId="2446FDC0" w14:textId="58F3BAF3" w:rsidR="00052A5C" w:rsidRPr="00824660" w:rsidRDefault="00052A5C" w:rsidP="00824660">
      <w:pPr>
        <w:spacing w:after="0" w:line="240" w:lineRule="auto"/>
        <w:ind w:firstLine="720"/>
        <w:jc w:val="both"/>
        <w:rPr>
          <w:rFonts w:ascii="Palatino Linotype" w:hAnsi="Palatino Linotype" w:cstheme="minorHAnsi"/>
          <w:b/>
          <w:sz w:val="24"/>
          <w:szCs w:val="24"/>
        </w:rPr>
      </w:pPr>
      <w:r w:rsidRPr="00824660">
        <w:rPr>
          <w:rFonts w:ascii="Palatino Linotype" w:hAnsi="Palatino Linotype" w:cstheme="minorHAnsi"/>
          <w:b/>
          <w:noProof/>
          <w:sz w:val="24"/>
          <w:szCs w:val="24"/>
        </w:rPr>
        <w:drawing>
          <wp:anchor distT="0" distB="0" distL="114300" distR="114300" simplePos="0" relativeHeight="251660288" behindDoc="0" locked="0" layoutInCell="1" allowOverlap="1" wp14:anchorId="640C117A" wp14:editId="4419FB0D">
            <wp:simplePos x="0" y="0"/>
            <wp:positionH relativeFrom="column">
              <wp:posOffset>1104900</wp:posOffset>
            </wp:positionH>
            <wp:positionV relativeFrom="paragraph">
              <wp:posOffset>223520</wp:posOffset>
            </wp:positionV>
            <wp:extent cx="3994150" cy="1171575"/>
            <wp:effectExtent l="0" t="0" r="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94150" cy="1171575"/>
                    </a:xfrm>
                    <a:prstGeom prst="rect">
                      <a:avLst/>
                    </a:prstGeom>
                  </pic:spPr>
                </pic:pic>
              </a:graphicData>
            </a:graphic>
            <wp14:sizeRelH relativeFrom="margin">
              <wp14:pctWidth>0</wp14:pctWidth>
            </wp14:sizeRelH>
            <wp14:sizeRelV relativeFrom="margin">
              <wp14:pctHeight>0</wp14:pctHeight>
            </wp14:sizeRelV>
          </wp:anchor>
        </w:drawing>
      </w:r>
    </w:p>
    <w:p w14:paraId="15A67EB8" w14:textId="77777777" w:rsidR="0080269F" w:rsidRDefault="0080269F" w:rsidP="00824660">
      <w:pPr>
        <w:spacing w:after="0" w:line="240" w:lineRule="auto"/>
        <w:jc w:val="both"/>
        <w:rPr>
          <w:rFonts w:ascii="Palatino Linotype" w:hAnsi="Palatino Linotype" w:cstheme="minorHAnsi"/>
          <w:b/>
          <w:sz w:val="24"/>
          <w:szCs w:val="24"/>
        </w:rPr>
      </w:pPr>
    </w:p>
    <w:p w14:paraId="3EDAE47D" w14:textId="2DB5A417" w:rsidR="0023343B" w:rsidRPr="00824660" w:rsidRDefault="00052A5C" w:rsidP="00824660">
      <w:pPr>
        <w:spacing w:after="0" w:line="240" w:lineRule="auto"/>
        <w:jc w:val="both"/>
        <w:rPr>
          <w:rFonts w:ascii="Palatino Linotype" w:hAnsi="Palatino Linotype"/>
          <w:sz w:val="24"/>
          <w:szCs w:val="24"/>
        </w:rPr>
      </w:pPr>
      <w:r w:rsidRPr="00824660">
        <w:rPr>
          <w:rFonts w:ascii="Palatino Linotype" w:hAnsi="Palatino Linotype" w:cstheme="minorHAnsi"/>
          <w:b/>
          <w:sz w:val="24"/>
          <w:szCs w:val="24"/>
        </w:rPr>
        <w:t>Figure 3</w:t>
      </w:r>
      <w:r w:rsidRPr="00824660">
        <w:rPr>
          <w:rFonts w:ascii="Palatino Linotype" w:hAnsi="Palatino Linotype" w:cstheme="minorHAnsi"/>
          <w:sz w:val="24"/>
          <w:szCs w:val="24"/>
        </w:rPr>
        <w:t xml:space="preserve">.  Hydrogen bonding between curcumin and chitosan molecules </w:t>
      </w:r>
      <w:r w:rsidRPr="00824660">
        <w:rPr>
          <w:rFonts w:ascii="Palatino Linotype" w:hAnsi="Palatino Linotype" w:cstheme="minorHAnsi"/>
          <w:sz w:val="24"/>
          <w:szCs w:val="24"/>
        </w:rPr>
        <w:fldChar w:fldCharType="begin" w:fldLock="1"/>
      </w:r>
      <w:r w:rsidR="0080269F">
        <w:rPr>
          <w:rFonts w:ascii="Palatino Linotype" w:hAnsi="Palatino Linotype" w:cstheme="minorHAnsi"/>
          <w:sz w:val="24"/>
          <w:szCs w:val="24"/>
        </w:rPr>
        <w:instrText>ADDIN CSL_CITATION {"citationItems":[{"id":"ITEM-1","itemData":{"DOI":"10.1016/j.molliq.2017.08.024","ISSN":"0167-7322","author":[{"dropping-particle":"","family":"Chanphai","given":"P","non-dropping-particle":"","parse-names":false,"suffix":""}],"container-title":"Journal of Molecular Liquids","id":"ITEM-1","issued":{"date-parts":[["2017"]]},"page":"108-114","publisher":"Elsevier B.V.","title":"Probing the binding of resveratrol , genistein and curcumin with chitosan nanoparticles","type":"article-journal","volume":"243"},"uris":["http://www.mendeley.com/documents/?uuid=cb62c677-66c4-4f55-a152-c3b953f68202"]}],"mendeley":{"formattedCitation":"(Chanphai, 2017)","plainTextFormattedCitation":"(Chanphai, 2017)","previouslyFormattedCitation":"(Chanphai, 2017)"},"properties":{"noteIndex":0},"schema":"https://github.com/citation-style-language/schema/raw/master/csl-citation.json"}</w:instrText>
      </w:r>
      <w:r w:rsidRPr="00824660">
        <w:rPr>
          <w:rFonts w:ascii="Palatino Linotype" w:hAnsi="Palatino Linotype" w:cstheme="minorHAnsi"/>
          <w:sz w:val="24"/>
          <w:szCs w:val="24"/>
        </w:rPr>
        <w:fldChar w:fldCharType="separate"/>
      </w:r>
      <w:r w:rsidR="007A1605" w:rsidRPr="007A1605">
        <w:rPr>
          <w:rFonts w:ascii="Palatino Linotype" w:hAnsi="Palatino Linotype" w:cstheme="minorHAnsi"/>
          <w:noProof/>
          <w:sz w:val="24"/>
          <w:szCs w:val="24"/>
        </w:rPr>
        <w:t>(Chanphai, 2017)</w:t>
      </w:r>
      <w:r w:rsidRPr="00824660">
        <w:rPr>
          <w:rFonts w:ascii="Palatino Linotype" w:hAnsi="Palatino Linotype" w:cstheme="minorHAnsi"/>
          <w:sz w:val="24"/>
          <w:szCs w:val="24"/>
        </w:rPr>
        <w:fldChar w:fldCharType="end"/>
      </w:r>
    </w:p>
    <w:p w14:paraId="1DB4CF81" w14:textId="77777777" w:rsidR="00052A5C" w:rsidRPr="00824660" w:rsidRDefault="00052A5C" w:rsidP="00824660">
      <w:pPr>
        <w:spacing w:after="0" w:line="240" w:lineRule="auto"/>
        <w:jc w:val="both"/>
        <w:rPr>
          <w:rFonts w:ascii="Palatino Linotype" w:hAnsi="Palatino Linotype"/>
          <w:sz w:val="24"/>
          <w:szCs w:val="24"/>
        </w:rPr>
      </w:pPr>
    </w:p>
    <w:p w14:paraId="416F76B9" w14:textId="0FCBEFA2" w:rsidR="00B1356F" w:rsidRPr="0080269F" w:rsidRDefault="00B1356F" w:rsidP="00824660">
      <w:pPr>
        <w:spacing w:after="0" w:line="240" w:lineRule="auto"/>
        <w:jc w:val="both"/>
        <w:rPr>
          <w:rFonts w:ascii="Palatino Linotype" w:hAnsi="Palatino Linotype"/>
          <w:b/>
          <w:bCs/>
          <w:sz w:val="24"/>
          <w:szCs w:val="24"/>
        </w:rPr>
      </w:pPr>
      <w:r w:rsidRPr="0080269F">
        <w:rPr>
          <w:rFonts w:ascii="Palatino Linotype" w:hAnsi="Palatino Linotype"/>
          <w:b/>
          <w:bCs/>
          <w:sz w:val="24"/>
          <w:szCs w:val="24"/>
        </w:rPr>
        <w:t>NANOEMULSION ENCAPSULATED WITH CHITOSAN</w:t>
      </w:r>
    </w:p>
    <w:p w14:paraId="7C2E4B7B" w14:textId="67BC4E78" w:rsidR="00052A5C" w:rsidRPr="00824660" w:rsidRDefault="00052A5C" w:rsidP="00824660">
      <w:pPr>
        <w:spacing w:after="0" w:line="240" w:lineRule="auto"/>
        <w:ind w:firstLine="720"/>
        <w:jc w:val="both"/>
        <w:rPr>
          <w:rFonts w:ascii="Palatino Linotype" w:hAnsi="Palatino Linotype"/>
          <w:sz w:val="24"/>
          <w:szCs w:val="24"/>
        </w:rPr>
      </w:pP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(NE) have a mean radius that ranges anywhere from 50 to 200 nm, depending on the specific NE</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{"citationItems":[{"id":"ITEM-1","itemData":{"DOI":"10.1016/j.cis.2017.12.001","ISSN":"00018686","abstract":"The formation, stability, and performance of oil-in-water emulsions may be improved by using combinations of two or more different emulsifiers, rather than an individual type. This article provides a review of the physicochemical basis for the ability of mixed emulsifiers to enhance emulsion properties. Initially, an overview of the most important physicochemical properties of emulsifiers is given, and then the nature of emulsifier interactions in solution and at interfaces is discussed. The impact of using mixed emulsifiers on the formation and stability of emulsions is then reviewed. Finally, the impact of using mixed emulsifiers on the functional performance of emulsifiers is given, including gastrointestinal fate, oxidative stability, antimicrobial activity, and release characteristics. This information should facilitate the selection of combinations of emulsifiers that will have improved performance in emulsion-based products.","author":[{"dropping-particle":"","family":"McClements","given":"David Julian","non-dropping-particle":"","parse-names":false,"suffix":""},{"dropping-particle":"","family":"Jafari","given":"Seid Mahdi","non-dropping-particle":"","parse-names":false,"suffix":""}],"container-title":"Advances in Colloid and Interface Science","id":"ITEM-1","issued":{"date-parts":[["2018"]]},"page":"55-79","publisher":"Elsevier B.V.","title":"Improving emulsion formation, stability and performance using mixed emulsifiers: A review","type":"article-journal","volume":"251"},"uris":["http://www.mendeley.com/documents/?uuid=9bbbc89f-d650-468d-b5f1-3f677523c26d"]},{"id":"ITEM-2","itemData":{"DOI":"10.1016/j.tifs.2017.11.009","ISSN":"0924-2244","author":[{"dropping-particle":"","family":"Araiza-Calahorra","given":"Andrea","non-dropping-particle":"","parse-names":false,"suffix":""},{"dropping-particle":"","family":"Akhtar","given":"Mahmood","non-dropping-particle":"","parse-names":false,"suffix":""},{"dropping-particle":"","family":"Sarkar","given":"Anwesha","non-dropping-particle":"","parse-names":false,"suffix":""}],"container-title":"Trends in Food Science &amp; Technology","id":"ITEM-2","issued":{"date-parts":[["2018"]]},"page":"155-169","publisher":"Elsevier","title":"Recent advances in emulsion-based delivery approaches for curcumin : From encapsulation to bioaccessibility","type":"article-journal","volume":"71"},"uris":["http://www.mendeley.com/documents/?uuid=23011d3e-1061-4517-b7da-4fa84590b550"]}],"mendeley":{"formattedCitation":"(Araiza-Calahorra, Akhtar and Sarkar, 2018; McClements and Jafari, 2018)","plainTextFormattedCitation":"(Araiza-Calahorra, Akhtar and Sarkar, 2018; McClements and Jafari, 2018)","previouslyFormattedCitation":"(Araiza-Calahorra, Akhtar and Sarkar, 2018; McClements and Jafari,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(Araiza-Calahorra, Akhtar and Sarkar, 2018; McClements and Jafari, 2018)</w:t>
      </w:r>
      <w:r w:rsidR="00824660">
        <w:rPr>
          <w:rFonts w:ascii="Palatino Linotype" w:hAnsi="Palatino Linotype"/>
          <w:sz w:val="24"/>
          <w:szCs w:val="24"/>
        </w:rPr>
        <w:fldChar w:fldCharType="end"/>
      </w:r>
      <w:r w:rsidRPr="00824660">
        <w:rPr>
          <w:rFonts w:ascii="Palatino Linotype" w:hAnsi="Palatino Linotype"/>
          <w:sz w:val="24"/>
          <w:szCs w:val="24"/>
        </w:rPr>
        <w:t xml:space="preserve">. They </w:t>
      </w:r>
      <w:proofErr w:type="gramStart"/>
      <w:r w:rsidRPr="00824660">
        <w:rPr>
          <w:rFonts w:ascii="Palatino Linotype" w:hAnsi="Palatino Linotype"/>
          <w:sz w:val="24"/>
          <w:szCs w:val="24"/>
        </w:rPr>
        <w:t>have a tendency to</w:t>
      </w:r>
      <w:proofErr w:type="gramEnd"/>
      <w:r w:rsidRPr="00824660">
        <w:rPr>
          <w:rFonts w:ascii="Palatino Linotype" w:hAnsi="Palatino Linotype"/>
          <w:sz w:val="24"/>
          <w:szCs w:val="24"/>
        </w:rPr>
        <w:t xml:space="preserve"> be clear or somewhat opaque, and because of </w:t>
      </w:r>
      <w:r w:rsidRPr="00824660">
        <w:rPr>
          <w:rFonts w:ascii="Palatino Linotype" w:hAnsi="Palatino Linotype"/>
          <w:sz w:val="24"/>
          <w:szCs w:val="24"/>
        </w:rPr>
        <w:lastRenderedPageBreak/>
        <w:t xml:space="preserve">the very small droplet size, they have much superior stability against aggregation than traditional emulsions do as a result of the fact that they compare. It is possible to draw the conclusion that the emulsifier layer is the primary component of the oil droplet's overall composition </w:t>
      </w:r>
      <w:proofErr w:type="gramStart"/>
      <w:r w:rsidRPr="00824660">
        <w:rPr>
          <w:rFonts w:ascii="Palatino Linotype" w:hAnsi="Palatino Linotype"/>
          <w:sz w:val="24"/>
          <w:szCs w:val="24"/>
        </w:rPr>
        <w:t>due to the fact that</w:t>
      </w:r>
      <w:proofErr w:type="gramEnd"/>
      <w:r w:rsidRPr="00824660">
        <w:rPr>
          <w:rFonts w:ascii="Palatino Linotype" w:hAnsi="Palatino Linotype"/>
          <w:sz w:val="24"/>
          <w:szCs w:val="24"/>
        </w:rPr>
        <w:t xml:space="preserve"> the thickness of the emulsifier layer is comparable to that of the radius of the oil droplet (= r). The process of creating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typically falls into one of two categories: high intensity or low intensity. Additionally, the process can be broken down into two stages: the pre-emulsification stage and the emulsification stage. Examples of high-intensity approaches include the utilization of an ultrasonic bath or </w:t>
      </w:r>
      <w:proofErr w:type="spellStart"/>
      <w:r w:rsidRPr="00824660">
        <w:rPr>
          <w:rFonts w:ascii="Palatino Linotype" w:hAnsi="Palatino Linotype"/>
          <w:sz w:val="24"/>
          <w:szCs w:val="24"/>
        </w:rPr>
        <w:t>sonicator</w:t>
      </w:r>
      <w:proofErr w:type="spellEnd"/>
      <w:r w:rsidRPr="00824660">
        <w:rPr>
          <w:rFonts w:ascii="Palatino Linotype" w:hAnsi="Palatino Linotype"/>
          <w:sz w:val="24"/>
          <w:szCs w:val="24"/>
        </w:rPr>
        <w:t>, high-pressure valve homogenizers, microfluidizers, and the use of a high-speed blender</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cocis.2016.06.013","ISSN":"1359-0294","author":[{"dropping-particle":"","family":"Hou","given":"Wanguo","non-dropping-particle":"","parse-names":false,"suffix":""},{"dropping-particle":"","family":"Xu","given":"Jie","non-dropping-particle":"","parse-names":false,"suffix":""}],"container-title":"Current Opinion in Colloid &amp; Interface Science","id":"ITEM-1","issued":{"date-parts":[["2016"]]},"page":"67-74","publisher":"Elsevier Ltd","title":"Current Opinion in Colloid &amp; Interface Science Surfactant-free microemulsions","type":"article-journal","volume":"25"},"uris":["http://www.mendeley.com/documents/?uuid=db7c8e37-2b7f-421f-8011-dc5e0d4a36b1"]},{"id":"ITEM-2","itemData":{"DOI":"10.1016/j.cocis.2012.06.002","ISSN":"1359-0294","author":[{"dropping-particle":"","family":"Mcclements","given":"David Julian","non-dropping-particle":"","parse-names":false,"suffix":""}],"container-title":"Current Opinion in Colloid &amp; Interface Science","id":"ITEM-2","issue":"5","issued":{"date-parts":[["2012"]]},"page":"235-245","publisher":"Elsevier Ltd","title":"Current Opinion in Colloid &amp; Interface Science Advances in fabrication of emulsions with enhanced functionality using structural design principles","type":"article-journal","volume":"17"},"uris":["http://www.mendeley.com/documents/?uuid=9860860e-60be-4bec-a93f-55588b1a2cb5"]}],"mendeley":{"formattedCitation":"(Mcclements, 2012; Hou and Xu, 2016)","plainTextFormattedCitation":"(Mcclements, 2012; Hou and Xu, 2016)","previouslyFormattedCitation":"(Mcclements, 2012; Hou and Xu, 2016)"},"properties":{"noteIndex":0},"schema":"https://github.com/citation-style-language/schema/raw/master/csl-citation.json"}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(Mcclements, 2012; Hou and Xu, 2016)</w:t>
      </w:r>
      <w:r w:rsidR="00824660">
        <w:rPr>
          <w:rFonts w:ascii="Palatino Linotype" w:hAnsi="Palatino Linotype"/>
          <w:sz w:val="24"/>
          <w:szCs w:val="24"/>
        </w:rPr>
        <w:fldChar w:fldCharType="end"/>
      </w:r>
      <w:r w:rsidR="00824660">
        <w:rPr>
          <w:rFonts w:ascii="Palatino Linotype" w:hAnsi="Palatino Linotype"/>
          <w:sz w:val="24"/>
          <w:szCs w:val="24"/>
        </w:rPr>
        <w:t>.</w:t>
      </w:r>
    </w:p>
    <w:p w14:paraId="04B6EFC0" w14:textId="3A74F088" w:rsidR="00052A5C" w:rsidRPr="00824660" w:rsidRDefault="00052A5C" w:rsidP="00824660">
      <w:pPr>
        <w:spacing w:after="0" w:line="240" w:lineRule="auto"/>
        <w:ind w:firstLine="720"/>
        <w:jc w:val="both"/>
        <w:rPr>
          <w:rFonts w:ascii="Palatino Linotype" w:hAnsi="Palatino Linotype"/>
          <w:sz w:val="24"/>
          <w:szCs w:val="24"/>
        </w:rPr>
      </w:pPr>
      <w:proofErr w:type="gramStart"/>
      <w:r w:rsidRPr="00824660">
        <w:rPr>
          <w:rFonts w:ascii="Palatino Linotype" w:hAnsi="Palatino Linotype"/>
          <w:sz w:val="24"/>
          <w:szCs w:val="24"/>
        </w:rPr>
        <w:t>In order to</w:t>
      </w:r>
      <w:proofErr w:type="gramEnd"/>
      <w:r w:rsidRPr="00824660">
        <w:rPr>
          <w:rFonts w:ascii="Palatino Linotype" w:hAnsi="Palatino Linotype"/>
          <w:sz w:val="24"/>
          <w:szCs w:val="24"/>
        </w:rPr>
        <w:t xml:space="preserve"> keep the integrity of the colloidal system intact, NE necessitates the presence of particular emulsifiers at the oil-water interface. This is because NE possesses a thermodynamic instability. When compared to conventional emulsion, which has droplets that are several micrometers in size,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(NE) is a particularly attractive option for encapsulating, protecting, and delivering lipophilic nutraceuticals for food and applications connected to food. This is because conventional emulsion has droplets that are several micrometers in size. NE that has been coated with chitosan has the potential to be beneficial for the delivery of lipophilic bioactive substances</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{"citationItems":[{"id":"ITEM-1","itemData":{"DOI":"10.3136/fstr.19.633","ISSN":"1344-6606","abstract":"Encapsulation of curcumin-loaded oil droplets with chitosan-based cryogels, made from a ternary system of colloidal chitosan, κ-carrageenan, and carboxymethylcellulose (CMC) sodium salt, was carried out and the effects of the freezing condition (unidirectional freezing rate with and without post-freezing incubation) and the initial concentration ratio of carrageenan to CMC on the properties of the cryogel nanocapsules were experimentally investigated. Both the freezing condition and initial concentration ratio had significant effects on the gel fraction yield, swelling extent, particle size and zeta potential, as well as the curcumin release pattern. Specimen I-S1-02, which was made of polymer set 1 (carrageenan:CMC = 4:6) at a rapid freezing rate of -2°C/min with 10-hr incubation at -10°C, showed the slowest release rate (first-order type) of curcumin. In comparison, it was found that microcapsules obtained by spray-drying a similar O/W curcumin emulsion with dextran as stabilizer exhibited the fastest rate of curcumin release, similar to a burst release.","author":[{"dropping-particle":"","family":"Sowasod","given":"Nataporn","non-dropping-particle":"","parse-names":false,"suffix":""},{"dropping-particle":"","family":"Nakagawa","given":"Kyuya","non-dropping-particle":"","parse-names":false,"suffix":""},{"dropping-particle":"","family":"Charinpanitkul","given":"Tawatchai","non-dropping-particle":"","parse-names":false,"suffix":""},{"dropping-particle":"","family":"Tanthapanichakoon","given":"Wiwut","non-dropping-particle":"","parse-names":false,"suffix":""}],"container-title":"Food Science and Technology Research","id":"ITEM-1","issue":"4","issued":{"date-parts":[["2013"]]},"page":"633-640","title":"Encapsulation of Curcumin Loaded Oil Droplets with Chitosan Based Cryogel: Influence of Freezing Condition on Nanocapsule Properties","type":"article-journal","volume":"19"},"uris":["http://www.mendeley.com/documents/?uuid=da31f247-ca72-4cc0-be12-d8221938888b"]},{"id":"ITEM-2","itemData":{"DOI":"10.1016/j.tifs.2017.11.009","ISSN":"0924-2244","author":[{"dropping-particle":"","family":"Araiza-Calahorra","given":"Andrea","non-dropping-particle":"","parse-names":false,"suffix":""},{"dropping-particle":"","family":"Akhtar","given":"Mahmood","non-dropping-particle":"","parse-names":false,"suffix":""},{"dropping-particle":"","family":"Sarkar","given":"Anwesha","non-dropping-particle":"","parse-names":false,"suffix":""}],"container-title":"Trends in Food Science &amp; Technology","id":"ITEM-2","issued":{"date-parts":[["2018"]]},"page":"155-169","publisher":"Elsevier","title":"Recent advances in emulsion-based delivery approaches for curcumin : From encapsulation to bioaccessibility","type":"article-journal","volume":"71"},"uris":["http://www.mendeley.com/documents/?uuid=23011d3e-1061-4517-b7da-4fa84590b550"]}],"mendeley":{"formattedCitation":"(Sowasod &lt;i&gt;et al.&lt;/i&gt;, 2013; Araiza-Calahorra, Akhtar and Sarkar, 2018)","plainTextFormattedCitation":"(Sowasod et al., 2013; Araiza-Calahorra, Akhtar and Sarkar, 2018)","previouslyFormattedCitation":"(Sowasod &lt;i&gt;et al.&lt;/i&gt;, 2013; Araiza-Calahorra, Akhtar and Sarkar,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w:t>
      </w:r>
      <w:proofErr w:type="spellStart"/>
      <w:r w:rsidR="007A1605" w:rsidRPr="007A1605">
        <w:rPr>
          <w:rFonts w:ascii="Palatino Linotype" w:hAnsi="Palatino Linotype"/>
          <w:noProof/>
          <w:sz w:val="24"/>
          <w:szCs w:val="24"/>
        </w:rPr>
        <w:t>Sowasod</w:t>
      </w:r>
      <w:proofErr w:type="spellEnd"/>
      <w:r w:rsidR="007A1605" w:rsidRPr="007A1605">
        <w:rPr>
          <w:rFonts w:ascii="Palatino Linotype" w:hAnsi="Palatino Linotype"/>
          <w:noProof/>
          <w:sz w:val="24"/>
          <w:szCs w:val="24"/>
        </w:rPr>
        <w:t xml:space="preserve">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2013; Araiza-Calahorra, Akhtar and Sarkar, 2018)</w:t>
      </w:r>
      <w:r w:rsidR="00824660">
        <w:rPr>
          <w:rFonts w:ascii="Palatino Linotype" w:hAnsi="Palatino Linotype"/>
          <w:sz w:val="24"/>
          <w:szCs w:val="24"/>
        </w:rPr>
        <w:fldChar w:fldCharType="end"/>
      </w:r>
      <w:r w:rsidRPr="00824660">
        <w:rPr>
          <w:rFonts w:ascii="Palatino Linotype" w:hAnsi="Palatino Linotype"/>
          <w:sz w:val="24"/>
          <w:szCs w:val="24"/>
        </w:rPr>
        <w:t>. This is because it will better protect the core material from being damaged.</w:t>
      </w:r>
    </w:p>
    <w:p w14:paraId="5B13E188" w14:textId="24F6C332" w:rsidR="00B1356F" w:rsidRDefault="00052A5C"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After curcumin was successfully encapsulated into a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by using MCT oils as the dispersed phase, chitosan was used to cover the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that contained curcumin. Chitosan was used to cover the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The encapsulated substance was put through heat and ultraviolet (UV) treatments, but the results showed that it did not lose its stability in either of those processes. The degree of stability that the Chitosan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(CNE) possessed was evaluated based on the changes that occurred during storage in both the size of the particles and the zeta potential of the solution. It was demonstrated that after coating, there was a significant increase in the particle size of CNE, which was dependent on the molecular weight of chitosan. This finding was supported by the findings of the </w:t>
      </w:r>
      <w:proofErr w:type="gramStart"/>
      <w:r w:rsidRPr="00824660">
        <w:rPr>
          <w:rFonts w:ascii="Palatino Linotype" w:hAnsi="Palatino Linotype"/>
          <w:sz w:val="24"/>
          <w:szCs w:val="24"/>
        </w:rPr>
        <w:t>aforementioned study</w:t>
      </w:r>
      <w:proofErr w:type="gramEnd"/>
      <w:r w:rsidRPr="00824660">
        <w:rPr>
          <w:rFonts w:ascii="Palatino Linotype" w:hAnsi="Palatino Linotype"/>
          <w:sz w:val="24"/>
          <w:szCs w:val="24"/>
        </w:rPr>
        <w:t xml:space="preserve">. After being coated, the zeta potential of NE would change from having a negative value to having positive charges. Initially, the zeta potential of NE had a negative value. CNE samples were able to improve the water dispersibility of curcumin by a factor of 1400 when compared to curcumin that was not encapsulated. Both NE and CNE samples were stable for at least one month of storage at room temperature. Phase separation was observed in the NE emulsion sample after it had been stored for three months, in contrast to the CNE emulsion sample (Figure 4). The presence of coated chitosan and surfactant will ensure that the curcumin is protected during the process of heat treatment. Phase separation is </w:t>
      </w:r>
      <w:r w:rsidRPr="00824660">
        <w:rPr>
          <w:rFonts w:ascii="Palatino Linotype" w:hAnsi="Palatino Linotype"/>
          <w:sz w:val="24"/>
          <w:szCs w:val="24"/>
        </w:rPr>
        <w:lastRenderedPageBreak/>
        <w:t xml:space="preserve">inevitable as a result of this, and it will take place even while the substance is being stored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{"citationItems":[{"id":"ITEM-1","itemData":{"DOI":"10.1016/j.foodhyd.2018.05.052","ISSN":"0268005X","abstract":"The effects of lipid composition and chitosan coating on lipid digestion ability were investigated using a simulated in vitro digestion system, including oral, gastric, and small intestine stages. Solid lipid nanoparticles (SLNs) and nanostructured lipid carriers (NLCs) were prepared with only palm oil and the mixture of palm oil and medium-chain triglyceride (MCT) oil, respectively. Chitosan-coated SLNs (CS-SLNs) and NLCs (CS-NLCs) were prepared with a drop-wise method. CS-NLCs were more completely digested than the NLCs, while the NLCs showed higher free fatty acid release than SLNs. Chitosan coating increased the particle size of both SLNs and NLCs from 100.0 to 104.9 nm to 130.0 and 146.5 nm, respectively. Chitosan coating also increased the initial digestion rate of NLCs by modulating lipid droplet aggregation. But, chitosan coating showed little impact on the digestion of SLNs because SLNs did not strongly impact the lipid droplet aggregation state. These results have important implications for the fabrication of functional foods and beverages to achieve control of lipid digestion in the gastrointestinal tract.","author":[{"dropping-particle":"","family":"Shin","given":"Gye Hwa","non-dropping-particle":"","parse-names":false,"suffix":""},{"dropping-particle":"","family":"Kim","given":"Jun Tae","non-dropping-particle":"","parse-names":false,"suffix":""}],"container-title":"Food Hydrocolloids","id":"ITEM-1","issued":{"date-parts":[["2018"]]},"page":"146-153","publisher":"Elsevier Ltd","title":"Observation of chitosan coated lipid nanoparticles with different lipid compositions under simulated in vitro digestion system","type":"article-journal","volume":"84"},"uris":["http://www.mendeley.com/documents/?uuid=b694949a-d0c1-4026-911f-aa27c03350fa"]},{"id":"ITEM-2","itemData":{"DOI":"10.1016/j.foodhyd.2016.03.016","ISBN":"8229535892","ISSN":"0268005X","abstract":"Nano-emulsion (NE) composed of MCT oil, Tween 80 and lecithin was fabricated by ultrasonication method to encapsulate curcumin. Loading ability and efficiency of curcumin were 0.548 mg/mL and 95.10% respectively which indicated its water dispersibility was increased by 1400 fold. Chitosan with low, middle and high molecular weight (3 kDa, 30 kDa and 190-310 kDa respectively) was applied for coating the prepared NE. After chitosan coating, zeta potential value of NE was changed from negative to positive. At the same time, chitosan coating prevented NE phase separation in ionic strength test and inhibited degradation of curcumin during thermal and UV irradiation treatment. Using pH-stat method, it was found that middle and high molecular weight chitosan coating may interfere with lipolysis of NE during the in vitro digestion which also slightly decreased curcumin bio-accessibility. Therefore, NE coated with chitosan is a promising delivery system to promote the applications of curcumin in functional food and beverage system.","author":[{"dropping-particle":"","family":"Li","given":"Jinglei","non-dropping-particle":"","parse-names":false,"suffix":""},{"dropping-particle":"","family":"Hwang","given":"In Cheon","non-dropping-particle":"","parse-names":false,"suffix":""},{"dropping-particle":"","family":"Chen","given":"Xiguang","non-dropping-particle":"","parse-names":false,"suffix":""},{"dropping-particle":"","family":"Park","given":"Hyun Jin","non-dropping-particle":"","parse-names":false,"suffix":""}],"container-title":"Food Hydrocolloids","id":"ITEM-2","issued":{"date-parts":[["2016"]]},"page":"138-147","publisher":"Elsevier Ltd","title":"Effects of chitosan coating on curcumin loaded nano-emulsion: Study on stability and in vitro digestibility","type":"article-journal","volume":"60"},"uris":["http://www.mendeley.com/documents/?uuid=d28d2d38-a751-4fd0-83bc-f853f644f967"]},{"id":"ITEM-3","itemData":{"DOI":"10.1016/j.jconrel.2016.05.004","ISSN":"18734995","PMID":"27155364","abstract":"Although nanocarriers can enhance the bioavailability of free curcumin in the blood, a systematic study on the parameters that affect such enhancement is still missing. In this work we focused the attention on a nanocarrier represented by an oil in water nano-emulsion coated with a thiol modified chitosan and carried out a comprehensive study on the effects that parameters such as size, co-delivery of piperine and degree of chitosan modification can exert on curcumin bioavailability and quantified their impact. We obtained an unprecedented pharmacokinetic profile of curcumin with the best formulation, represented by a combination of a small nanoemulsion size (110 nm), co-delivery of curcumin and piperine (weight ratio 100:1) and a high degree of chitosan thiolation (14-15%). Then, we assessed its anti-inflammatory properties after oral administration in rats at low doses (=0.1 times the volume administered in the pharmacokinetic study). Furthermore, the proposed food grade nano-emulsions loaded with curcumin did not show any cytotoxic effect on normal fibroblasts, while they were able to promote death in colon cancer cells in agreementwith the common knowledge of the selective action of curcumin.","author":[{"dropping-particle":"","family":"Vecchione","given":"Raffaele","non-dropping-particle":"","parse-names":false,"suffix":""},{"dropping-particle":"","family":"Quagliariello","given":"Vincenzo","non-dropping-particle":"","parse-names":false,"suffix":""},{"dropping-particle":"","family":"Calabria","given":"Dominic","non-dropping-particle":"","parse-names":false,"suffix":""},{"dropping-particle":"","family":"Calcagno","given":"Vincenzo","non-dropping-particle":"","parse-names":false,"suffix":""},{"dropping-particle":"","family":"Luca","given":"Elisa","non-dropping-particle":"De","parse-names":false,"suffix":""},{"dropping-particle":"V.","family":"Iaffaioli","given":"Rosario","non-dropping-particle":"","parse-names":false,"suffix":""},{"dropping-particle":"","family":"Netti","given":"Paolo A.","non-dropping-particle":"","parse-names":false,"suffix":""}],"container-title":"Journal of Controlled Release","id":"ITEM-3","issued":{"date-parts":[["2016"]]},"page":"88-100","publisher":"Elsevier B.V.","title":"Curcumin bioavailability from oil in water nano-emulsions: In vitro and in vivo study on the dimensional, compositional and interactional dependence","type":"article-journal","volume":"233"},"uris":["http://www.mendeley.com/documents/?uuid=1360919f-9ee3-4624-8ad6-4202a5617097"]}],"mendeley":{"formattedCitation":"(Li &lt;i&gt;et al.&lt;/i&gt;, 2016; Vecchione &lt;i&gt;et al.&lt;/i&gt;, 2016; Shin and Kim, 2018)","plainTextFormattedCitation":"(Li et al., 2016; Vecchione et al., 2016; Shin and Kim, 2018)","previouslyFormattedCitation":"(Li &lt;i&gt;et al.&lt;/i&gt;, 2016; Vecchione &lt;i&gt;et al.&lt;/i&gt;, 2016; Shin and Kim,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(Li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2016; Vecchione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2016; Shin and Kim, 2018)</w:t>
      </w:r>
      <w:r w:rsidR="00824660">
        <w:rPr>
          <w:rFonts w:ascii="Palatino Linotype" w:hAnsi="Palatino Linotype"/>
          <w:sz w:val="24"/>
          <w:szCs w:val="24"/>
        </w:rPr>
        <w:fldChar w:fldCharType="end"/>
      </w:r>
      <w:r w:rsidR="00824660">
        <w:rPr>
          <w:rFonts w:ascii="Palatino Linotype" w:hAnsi="Palatino Linotype"/>
          <w:sz w:val="24"/>
          <w:szCs w:val="24"/>
        </w:rPr>
        <w:t>.</w:t>
      </w:r>
    </w:p>
    <w:p w14:paraId="31E4A8B2" w14:textId="3FDFF862" w:rsidR="00824660" w:rsidRPr="007A1605" w:rsidRDefault="00824660" w:rsidP="00824660">
      <w:pPr>
        <w:spacing w:after="0" w:line="240" w:lineRule="auto"/>
        <w:jc w:val="both"/>
        <w:rPr>
          <w:rFonts w:ascii="Palatino Linotype" w:hAnsi="Palatino Linotype"/>
          <w:b/>
          <w:bCs/>
          <w:sz w:val="24"/>
          <w:szCs w:val="24"/>
        </w:rPr>
      </w:pPr>
      <w:r w:rsidRPr="00824660">
        <w:rPr>
          <w:rFonts w:ascii="Palatino Linotype" w:hAnsi="Palatino Linotype" w:cstheme="minorHAnsi"/>
          <w:noProof/>
          <w:sz w:val="24"/>
          <w:szCs w:val="24"/>
        </w:rPr>
        <w:drawing>
          <wp:anchor distT="0" distB="0" distL="114300" distR="114300" simplePos="0" relativeHeight="251662336" behindDoc="0" locked="0" layoutInCell="1" allowOverlap="1" wp14:anchorId="32C1E757" wp14:editId="5E560CAC">
            <wp:simplePos x="0" y="0"/>
            <wp:positionH relativeFrom="margin">
              <wp:posOffset>704850</wp:posOffset>
            </wp:positionH>
            <wp:positionV relativeFrom="paragraph">
              <wp:posOffset>0</wp:posOffset>
            </wp:positionV>
            <wp:extent cx="4681220" cy="2728595"/>
            <wp:effectExtent l="0" t="0" r="508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81220" cy="2728595"/>
                    </a:xfrm>
                    <a:prstGeom prst="rect">
                      <a:avLst/>
                    </a:prstGeom>
                  </pic:spPr>
                </pic:pic>
              </a:graphicData>
            </a:graphic>
            <wp14:sizeRelH relativeFrom="margin">
              <wp14:pctWidth>0</wp14:pctWidth>
            </wp14:sizeRelH>
            <wp14:sizeRelV relativeFrom="margin">
              <wp14:pctHeight>0</wp14:pctHeight>
            </wp14:sizeRelV>
          </wp:anchor>
        </w:drawing>
      </w:r>
    </w:p>
    <w:p w14:paraId="24C013AC" w14:textId="0DD70107" w:rsidR="00B1356F" w:rsidRDefault="00B1356F" w:rsidP="00824660">
      <w:pPr>
        <w:spacing w:after="0" w:line="240" w:lineRule="auto"/>
        <w:jc w:val="both"/>
        <w:rPr>
          <w:rFonts w:ascii="Palatino Linotype" w:hAnsi="Palatino Linotype"/>
          <w:sz w:val="24"/>
          <w:szCs w:val="24"/>
        </w:rPr>
      </w:pPr>
      <w:r w:rsidRPr="007A1605">
        <w:rPr>
          <w:rFonts w:ascii="Palatino Linotype" w:hAnsi="Palatino Linotype"/>
          <w:b/>
          <w:bCs/>
          <w:sz w:val="24"/>
          <w:szCs w:val="24"/>
        </w:rPr>
        <w:t>Figure 4</w:t>
      </w:r>
      <w:r w:rsidRPr="00824660">
        <w:rPr>
          <w:rFonts w:ascii="Palatino Linotype" w:hAnsi="Palatino Linotype"/>
          <w:sz w:val="24"/>
          <w:szCs w:val="24"/>
        </w:rPr>
        <w:t xml:space="preserve">: Chitosan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after it has been stored for three months: (A)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with an oil layer indicated by the red arrow, (B) a chitosan coated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with a low molecular weight, (C) a chitosan coated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with an intermediate molecular weight, and (D) a chitosan coated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with a high molecular weight</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{"citationItems":[{"id":"ITEM-1","itemData":{"DOI":"10.1016/j.foodhyd.2016.03.016","ISBN":"8229535892","ISSN":"0268005X","abstract":"Nano-emulsion (NE) composed of MCT oil, Tween 80 and lecithin was fabricated by ultrasonication method to encapsulate curcumin. Loading ability and efficiency of curcumin were 0.548 mg/mL and 95.10% respectively which indicated its water dispersibility was increased by 1400 fold. Chitosan with low, middle and high molecular weight (3 kDa, 30 kDa and 190-310 kDa respectively) was applied for coating the prepared NE. After chitosan coating, zeta potential value of NE was changed from negative to positive. At the same time, chitosan coating prevented NE phase separation in ionic strength test and inhibited degradation of curcumin during thermal and UV irradiation treatment. Using pH-stat method, it was found that middle and high molecular weight chitosan coating may interfere with lipolysis of NE during the in vitro digestion which also slightly decreased curcumin bio-accessibility. Therefore, NE coated with chitosan is a promising delivery system to promote the applications of curcumin in functional food and beverage system.","author":[{"dropping-particle":"","family":"Li","given":"Jinglei","non-dropping-particle":"","parse-names":false,"suffix":""},{"dropping-particle":"","family":"Hwang","given":"In Cheon","non-dropping-particle":"","parse-names":false,"suffix":""},{"dropping-particle":"","family":"Chen","given":"Xiguang","non-dropping-particle":"","parse-names":false,"suffix":""},{"dropping-particle":"","family":"Park","given":"Hyun Jin","non-dropping-particle":"","parse-names":false,"suffix":""}],"container-title":"Food Hydrocolloids","id":"ITEM-1","issued":{"date-parts":[["2016"]]},"page":"138-147","publisher":"Elsevier Ltd","title":"Effects of chitosan coating on curcumin loaded nano-emulsion: Study on stability and in vitro digestibility","type":"article-journal","volume":"60"},"uris":["http://www.mendeley.com/documents/?uuid=d28d2d38-a751-4fd0-83bc-f853f644f967"]}],"mendeley":{"formattedCitation":"(Li &lt;i&gt;et al.&lt;/i&gt;, 2016)","plainTextFormattedCitation":"(Li et al., 2016)","previouslyFormattedCitation":"(Li &lt;i&gt;et al.&lt;/i&gt;, 2016)"},"properties":{"noteIndex":0},"schema":"https://github.com/citation-style-language/schema/raw/master/csl-citation.json"}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(Li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2016)</w:t>
      </w:r>
      <w:r w:rsidR="00824660">
        <w:rPr>
          <w:rFonts w:ascii="Palatino Linotype" w:hAnsi="Palatino Linotype"/>
          <w:sz w:val="24"/>
          <w:szCs w:val="24"/>
        </w:rPr>
        <w:fldChar w:fldCharType="end"/>
      </w:r>
    </w:p>
    <w:p w14:paraId="5F803378" w14:textId="54436AAB" w:rsidR="00824660" w:rsidRDefault="00824660" w:rsidP="00824660">
      <w:pPr>
        <w:spacing w:after="0" w:line="240" w:lineRule="auto"/>
        <w:jc w:val="both"/>
        <w:rPr>
          <w:rFonts w:ascii="Palatino Linotype" w:hAnsi="Palatino Linotype"/>
          <w:sz w:val="24"/>
          <w:szCs w:val="24"/>
        </w:rPr>
      </w:pPr>
    </w:p>
    <w:p w14:paraId="05815D53" w14:textId="08C45DD7" w:rsidR="00B1356F" w:rsidRDefault="00314815"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It is likely that the barrier effect that chitosan has on curcumin, which can be described in two different ways, is responsible for the various processes working of chitosan </w:t>
      </w:r>
      <w:proofErr w:type="gramStart"/>
      <w:r w:rsidRPr="00824660">
        <w:rPr>
          <w:rFonts w:ascii="Palatino Linotype" w:hAnsi="Palatino Linotype"/>
          <w:sz w:val="24"/>
          <w:szCs w:val="24"/>
        </w:rPr>
        <w:t>in order to</w:t>
      </w:r>
      <w:proofErr w:type="gramEnd"/>
      <w:r w:rsidRPr="00824660">
        <w:rPr>
          <w:rFonts w:ascii="Palatino Linotype" w:hAnsi="Palatino Linotype"/>
          <w:sz w:val="24"/>
          <w:szCs w:val="24"/>
        </w:rPr>
        <w:t xml:space="preserve"> improve the stability of curcumin. One of these ways is that chitosan prevents curcumin from interacting with other molecules. To begin, the water solubility of curcumin increases with increasing temperature, which means that it has a greater potential to dissolve in hot water than in cold water. And if it were to exist outside of the emulsion droplets, it would be susceptible to oxidation and hydrolysis in the aqueous solution; </w:t>
      </w:r>
      <w:proofErr w:type="gramStart"/>
      <w:r w:rsidRPr="00824660">
        <w:rPr>
          <w:rFonts w:ascii="Palatino Linotype" w:hAnsi="Palatino Linotype"/>
          <w:sz w:val="24"/>
          <w:szCs w:val="24"/>
        </w:rPr>
        <w:t>both of these</w:t>
      </w:r>
      <w:proofErr w:type="gramEnd"/>
      <w:r w:rsidRPr="00824660">
        <w:rPr>
          <w:rFonts w:ascii="Palatino Linotype" w:hAnsi="Palatino Linotype"/>
          <w:sz w:val="24"/>
          <w:szCs w:val="24"/>
        </w:rPr>
        <w:t xml:space="preserve"> processes would result in a rapid reduction in its concentration. If it were to exist outside of the droplets, however, it would not be subject to either of these processes. It's possible that having a chitosan coating present during the thermal treatment will help prevent the curcumin migration phenomenon from occurring. In addition to this, chitosan </w:t>
      </w:r>
      <w:proofErr w:type="gramStart"/>
      <w:r w:rsidRPr="00824660">
        <w:rPr>
          <w:rFonts w:ascii="Palatino Linotype" w:hAnsi="Palatino Linotype"/>
          <w:sz w:val="24"/>
          <w:szCs w:val="24"/>
        </w:rPr>
        <w:t>is able to</w:t>
      </w:r>
      <w:proofErr w:type="gramEnd"/>
      <w:r w:rsidRPr="00824660">
        <w:rPr>
          <w:rFonts w:ascii="Palatino Linotype" w:hAnsi="Palatino Linotype"/>
          <w:sz w:val="24"/>
          <w:szCs w:val="24"/>
        </w:rPr>
        <w:t xml:space="preserve"> inhibit the radicals' ability to metabolize curcumin within the NE, which is a significant benefit. Chitosan coating provides NE with a cationic character, which enables it to reject reactive radicals such as protons and metal ions, thereby preventing oxidation of curcumin [15]. Chitosan coating also gives NE a positive </w:t>
      </w:r>
      <w:r w:rsidRPr="00824660">
        <w:rPr>
          <w:rFonts w:ascii="Palatino Linotype" w:hAnsi="Palatino Linotype"/>
          <w:sz w:val="24"/>
          <w:szCs w:val="24"/>
        </w:rPr>
        <w:lastRenderedPageBreak/>
        <w:t xml:space="preserve">charge, which is known as a negative charge </w:t>
      </w:r>
      <w:r w:rsidRPr="00824660">
        <w:rPr>
          <w:rFonts w:ascii="Palatino Linotype" w:hAnsi="Palatino Linotype"/>
          <w:sz w:val="24"/>
          <w:szCs w:val="24"/>
        </w:rPr>
        <w:fldChar w:fldCharType="begin" w:fldLock="1"/>
      </w:r>
      <w:r w:rsidR="0080269F">
        <w:rPr>
          <w:rFonts w:ascii="Palatino Linotype" w:hAnsi="Palatino Linotype"/>
          <w:sz w:val="24"/>
          <w:szCs w:val="24"/>
        </w:rPr>
        <w:instrText xml:space="preserve">ADDIN CSL_CITATION {"citationItems":[{"id":"ITEM-1","itemData":{"DOI":"10.1111/1750-3841.15488","ISSN":"17503841","PMID":"33067839","abstract":"Abstract: In this study, a novel approach to prepare spray-dried encapsulated curcumin powder was investigated. The effects of surfactants viz. Tween 80 (at 0.25 to 0.75% wt) and lecithin (at 1% wt) and of a stabilizer viz. chitosan (at 0 to 0.375% wt) on the characteristics of curcumin-based emulsions as well as on physicochemical properties of the resulting spray-dried encapsulated powder were determined. The optimal emulsion was noted to be the one formulated with 0.50 and 0.25% wt, respectively, of Tween 80 and chitosan (T0.50/C0.25). Spray-dried powder prepared from the optimal emulsion was compared to that prepared from an emulsion with 0.5% Tween 80 and 0% chitosan (T0.50/C0.00), as well as that from an emulsion with 0.25% Tween 80 and 0.25% chitosan (T0.25/C0.25). Physical properties of all powders were not significantly different. However, the encapsulation efficiency of T0.50/C0.25 powder (72.28%) was significantly higher than those of T0.50/C0.00 (47.19%) and T0.25/C0.25 powder (51.61%). Ferric reducing antioxidant powers of T0.50/C0.25 and T0.25/C0.25 powders were comparable but significantly higher than that of T0.50/C0.00 powder. After reconstitution, the mean particle sizes of T0.50/C0.25 and T0.25/C0.25 remained unchanged due to the protection by chitosan. T0.50/C0.00 powder was noted to exhibit the highest bioaccessibility (89.32%) in the simulated gastrointestinal tract. Practical Application: The results of this study can be used as a guideline to develop a stable formulation of curcumin feed emulsion that can later be transformed into an encapsulated powdery form via spray drying. Such a guideline should prove useful for a company looking for a way to produce high-quality functional ingredients and/or products from curcumin.","author":[{"dropping-particle":"","family":"Hamad","given":"Alwani","non-dropping-particle":"","parse-names":false,"suffix":""},{"dropping-particle":"","family":"Suriyarak","given":"Sarisa","non-dropping-particle":"","parse-names":false,"suffix":""},{"dropping-particle":"","family":"Devahastin","given":"Sakamon","non-dropping-particle":"","parse-names":false,"suffix":""},{"dropping-particle":"","family":"Borompichaichartkul","given":"Chaleeda","non-dropping-particle":"","parse-names":false,"suffix":""}],"container-title":"Journal of Food Science","id":"ITEM-1","issue":"11","issued":{"date-parts":[["2020"]]},"page":"3874-3884","title":"A novel approach to develop spray-dried encapsulated curcumin powder from oil-in-water emulsions stabilized by combined surfactants and chitosan","type":"article-journal","volume":"85"},"uris":["http://www.mendeley.com/documents/?uuid=92822abf-eae1-4507-8e74-41bc41b47aec"]},{"id":"ITEM-2","itemData":{"DOI":"10.1016/j.jcis.2005.09.023","ISBN":"0021-9797 (Print)\\n0021-9797 (Linking)","ISSN":"00219797","PMID":"16203009","abstract":"The objective of this study was to establish the influence of polyelectrolyte characteristics (molecular weight and charge density) on the properties of oil-in-water emulsions containing oil droplets surrounded by surfactant-polyelectrolyte layers. A surfactant-stabilized emulsion containing small droplets (d32≈0.3 μm) was prepared by homogenizing 20 wt% corn oil with 80 wt% emulsifier solution (20 mM SDS or 2.5 wt% Tween 20, 100 mM acetate buffer, pH 3) using a high-pressure valve homogenizer. This primary emulsion was then diluted with various chitosan solutions to produce secondary emulsions with a range of chitosan concentrations (3 wt% corn oil, 0-1 wt% chitosan). The influence of the molecular characteristics of chitosan on the properties of these emulsions was examined by using chitosan ingredients with different molecular weights (MW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15, 145, and 200 kDa) and degree of deacetylation (DDA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40, 77, and 92%). The electrical charge and particle size of the secondary emulsions were then measured. Extensive droplet aggregation occurred when the chitosan concentration was below the amount required to saturate the droplet surfaces, but stable emulsions could be formed at higher chitosan concentrations. The ζ-potential and mean diameter (d32) of the particles in the secondary emulsions was not strongly influenced by chitosan MW, however the chitosan with the lowest DDA (40%) produced droplets with smaller mean diameters and ζ-potentials than the other two DDA samples examined. Interestingly, we found that stable multilayer emulsions could be formed by mixing medium or high MW chitosan with an emulsion stabilized by a non-ionic surfactant (Tween 20) due to the fact the initial droplets had some negative charge. The information obtained from this study is useful for preparing emulsions stabilized by multilayer interfacial layers. © 2005 Elsevier Inc. All rights reserved.","author":[{"dropping-particle":"","family":"Mun","given":"Saehun","non-dropping-particle":"","parse-names":false,"suffix":""},{"dropping-particle":"","family":"Decker","given":"Eric A.","non-dropping-particle":"","parse-names":false,"suffix":""},{"dropping-particle":"","family":"Mcclements","given":"D. Julian","non-dropping-particle":"","parse-names":false,"suffix":""}],"container-title":"Journal of Colloid and Interface Science","id":"ITEM-2","issue":"2","issued":{"date-parts":[["2006"]]},"page":"581-590","title":"Effect of molecular weight and degree of deacetylation of chitosan on the formation of oil-in-water emulsions stabilized by surfactant-chitosan membranes","type":"article-journal","volume":"296"},"uris":["http://www.mendeley.com/documents/?uuid=ed39fa7f-c533-4cdb-97bb-ae1bc1efd033"]},{"id":"ITEM-3","itemData":{"DOI":"10.1016/j.carbpol.2014.06.074","ISSN":"0144-8617","author":[{"dropping-particle":"","family":"Woranuch","given":"Sarekha","non-dropping-particle":"","parse-names":false,"suffix":""},{"dropping-particle":"","family":"Yoksan","given":"Rangrong","non-dropping-particle":"","parse-names":false,"suffix":""},{"dropping-particle":"","family":"Akashi","given":"Mitsuru","non-dropping-particle":"","parse-names":false,"suffix":""}],"container-title":"Carbohydrate Polymers","id":"ITEM-3","issued":{"date-parts":[["2015"]]},"page":"744-751","publisher":"Elsevier Ltd.","title":"Ferulic acid-coupled chitosan : Thermal stability and utilization as an antioxidant for biodegradable active packaging film","type":"article-journal","volume":"115"},"uris":["http://www.mendeley.com/documents/?uuid=cb096ddc-bb75-4e60-ac63-5df99a12ee8b"]},{"id":"ITEM-4","itemData":{"DOI":"10.1016/j.foodhyd.2016.03.016","ISBN":"8229535892","ISSN":"0268005X","abstract":"Nano-emulsion (NE) composed of MCT oil, Tween 80 and lecithin was fabricated by ultrasonication method to encapsulate curcumin. Loading ability and efficiency of curcumin were 0.548 mg/mL and 95.10% respectively which indicated its water dispersibility was increased by 1400 fold. Chitosan with low, middle and high molecular weight (3 kDa, 30 kDa and 190-310 kDa respectively) was applied for coating the prepared NE. After chitosan coating, zeta potential value of NE was changed from negative to positive. At the same time, chitosan coating prevented NE phase separation in ionic strength test and inhibited degradation of curcumin during thermal and UV irradiation treatment. Using pH-stat method, it was found that middle and high molecular weight chitosan coating may interfere with lipolysis of NE during the in vitro digestion which also slightly decreased curcumin bio-accessibility. Therefore, NE coated with chitosan is a promising delivery system to promote the applications of curcumin in functional food and beverage system.","author":[{"dropping-particle":"","family":"Li","given":"Jinglei","non-dropping-particle":"","parse-names":false,"suffix":""},{"dropping-particle":"","family":"Hwang","given":"In Cheon","non-dropping-particle":"","parse-names":false,"suffix":""},{"dropping-particle":"","family":"Chen","given":"Xiguang","non-dropping-particle":"","parse-names":false,"suffix":""},{"dropping-particle":"","family":"Park","given":"Hyun Jin","non-dropping-particle":"","parse-names":false,"suffix":""}],"container-title":"Food Hydrocolloids","id":"ITEM-4","issued":{"date-parts":[["2016"]]},"page":"138-147","publisher":"Elsevier Ltd","title":"Effects of chitosan coating on curcumin loaded nano-emulsion: Study on stability and in vitro digestibility","type":"article-journal","volume":"60"},"uris":["http://www.mendeley.com/documents/?uuid=d28d2d38-a751-4fd0-83bc-f853f644f967"]}],"mendeley":{"formattedCitation":"(Mun, Decker and Mcclements, 2006; Woranuch, Yoksan and Akashi, 2015; Li &lt;i&gt;et al.&lt;/i&gt;, 2016; Hamad &lt;i&gt;et al.&lt;/i&gt;, 2020)","plainTextFormattedCitation":"(Mun, Decker and Mcclements, 2006; Woranuch, Yoksan and Akashi, 2015; Li et al., 2016; Hamad et al., 2020)","previouslyFormattedCitation":"(Mun, Decker and Mcclements, 2006; Woranuch, Yoksan and Akashi, 2015; Li &lt;i&gt;et al.&lt;/i&gt;, 2016; Hamad &lt;i&gt;et al.&lt;/i&gt;, 2020)"},"properties":{"noteIndex":0},"schema":"https://github.com/citation-style-language/schema/raw/master/csl-citation.json"}</w:instrText>
      </w:r>
      <w:r w:rsidRP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(Mun, Decker and Mcclements, 2006; Woranuch, Yoksan and Akashi, 2015; Li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2016; Hamad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2020)</w:t>
      </w:r>
      <w:r w:rsidRPr="00824660">
        <w:rPr>
          <w:rFonts w:ascii="Palatino Linotype" w:hAnsi="Palatino Linotype"/>
          <w:sz w:val="24"/>
          <w:szCs w:val="24"/>
        </w:rPr>
        <w:fldChar w:fldCharType="end"/>
      </w:r>
      <w:r w:rsidRPr="00824660">
        <w:rPr>
          <w:rFonts w:ascii="Palatino Linotype" w:hAnsi="Palatino Linotype"/>
          <w:sz w:val="24"/>
          <w:szCs w:val="24"/>
        </w:rPr>
        <w:t xml:space="preserve">. </w:t>
      </w:r>
    </w:p>
    <w:p w14:paraId="7AF66154" w14:textId="5900C8DA" w:rsidR="007A1605" w:rsidRDefault="007A1605" w:rsidP="00824660">
      <w:pPr>
        <w:spacing w:after="0" w:line="240" w:lineRule="auto"/>
        <w:ind w:firstLine="720"/>
        <w:jc w:val="both"/>
        <w:rPr>
          <w:rFonts w:ascii="Palatino Linotype" w:hAnsi="Palatino Linotype"/>
          <w:sz w:val="24"/>
          <w:szCs w:val="24"/>
        </w:rPr>
      </w:pPr>
    </w:p>
    <w:p w14:paraId="4EE5F71E" w14:textId="5D25E730" w:rsidR="00B1356F" w:rsidRPr="0080269F" w:rsidRDefault="00B1356F" w:rsidP="00824660">
      <w:pPr>
        <w:spacing w:after="0" w:line="240" w:lineRule="auto"/>
        <w:jc w:val="both"/>
        <w:rPr>
          <w:rFonts w:ascii="Palatino Linotype" w:hAnsi="Palatino Linotype"/>
          <w:b/>
          <w:bCs/>
          <w:sz w:val="24"/>
          <w:szCs w:val="24"/>
        </w:rPr>
      </w:pPr>
      <w:r w:rsidRPr="0080269F">
        <w:rPr>
          <w:rFonts w:ascii="Palatino Linotype" w:hAnsi="Palatino Linotype"/>
          <w:b/>
          <w:bCs/>
          <w:sz w:val="24"/>
          <w:szCs w:val="24"/>
        </w:rPr>
        <w:t>MULTILAYER NANOEMULSION ENCAPSULATED WITH CHITOSAN</w:t>
      </w:r>
    </w:p>
    <w:p w14:paraId="07AF1CFB" w14:textId="71311FE5" w:rsidR="00B1356F" w:rsidRPr="00824660" w:rsidRDefault="00FD6312"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It is possible for an emulsion to be multilayered if it contains emulsion droplets that are electrostatically stabilized by layers of emulsifiers that have charges that are in the opposite direction from one another. The layers themselves are made up of the polyelectrolyte that was used to coat each new layer as it was added. A graphical representation of the processes involved in the manufacture of multilayer emulsion is provided in Figure 5. In recent years, there has been a growing interest in the utilization of the layer-by-layer (</w:t>
      </w:r>
      <w:proofErr w:type="spellStart"/>
      <w:r w:rsidRPr="00824660">
        <w:rPr>
          <w:rFonts w:ascii="Palatino Linotype" w:hAnsi="Palatino Linotype"/>
          <w:sz w:val="24"/>
          <w:szCs w:val="24"/>
        </w:rPr>
        <w:t>LbL</w:t>
      </w:r>
      <w:proofErr w:type="spellEnd"/>
      <w:r w:rsidRPr="00824660">
        <w:rPr>
          <w:rFonts w:ascii="Palatino Linotype" w:hAnsi="Palatino Linotype"/>
          <w:sz w:val="24"/>
          <w:szCs w:val="24"/>
        </w:rPr>
        <w:t xml:space="preserve">) electrostatic deposition approach to construct such multilayer emulsion structures. This interest has been spurred on by the advancements that have been made in the field of electrostatic deposition. The following is a breakdown of this process into its individual steps and components: This method makes use of electrostatic attraction, which leads to the adsorption of a charged polyelectrolyte onto the surface of an oppositely charged droplet </w:t>
      </w:r>
      <w:proofErr w:type="gramStart"/>
      <w:r w:rsidRPr="00824660">
        <w:rPr>
          <w:rFonts w:ascii="Palatino Linotype" w:hAnsi="Palatino Linotype"/>
          <w:sz w:val="24"/>
          <w:szCs w:val="24"/>
        </w:rPr>
        <w:t>as a result of</w:t>
      </w:r>
      <w:proofErr w:type="gramEnd"/>
      <w:r w:rsidRPr="00824660">
        <w:rPr>
          <w:rFonts w:ascii="Palatino Linotype" w:hAnsi="Palatino Linotype"/>
          <w:sz w:val="24"/>
          <w:szCs w:val="24"/>
        </w:rPr>
        <w:t xml:space="preserve"> the technique's application. By alternating the adsorption of polyelectrolytes or charged emulsifiers with opposite charges, it is possible to create many layers, which ultimately results in the construction of a multilayered structure at the interface</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{"citationItems":[{"id":"ITEM-1","itemData":{"DOI":"10.1016/j.jff.2018.08.002","ISSN":"17564646","abstract":"Nanoemulsions can be used to improve the bioaccessibility of lipophilic bioactive compounds, such as curcumin, being their behaviour highly influenced by their interfacial properties. The effect of chitosan and alginate layers’ deposition on curcumin nanoemulsions’ behaviour during in vitro digestion was evaluated using a dynamic gastrointestinal system. Results showed that polyelectrolyte layers’ deposition improved curcumin antioxidant capacity during in vitro digestion. In addition, multilayer nanoemulsions showed a better control of the rate and extent of lipid digestibility by decreasing free fatty acids release, compared to uncoated nanoemulsions. However, a lower curcumin bioaccessibility was observed for multilayer nanoemulsions. Although cytotoxicity assays revealed that both nanosystems are toxic due to the use of sodium dodecyl sulphate (SDS), nanosystems were 3.3-fold less toxic than SDS itself. This study showed that multilayer nanoemulsions could be used to increase satiety by retarding lipid digestion, which can be important for functional foods development for combating obesity.","author":[{"dropping-particle":"","family":"Silva","given":"Hélder D.","non-dropping-particle":"","parse-names":false,"suffix":""},{"dropping-particle":"","family":"Poejo","given":"Joana","non-dropping-particle":"","parse-names":false,"suffix":""},{"dropping-particle":"","family":"Pinheiro","given":"Ana C.","non-dropping-particle":"","parse-names":false,"suffix":""},{"dropping-particle":"","family":"Donsì","given":"Francesco","non-dropping-particle":"","parse-names":false,"suffix":""},{"dropping-particle":"","family":"Serra","given":"Ana Teresa","non-dropping-particle":"","parse-names":false,"suffix":""},{"dropping-particle":"","family":"Duarte","given":"Catarina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A.","non-dropping-particle":"","parse-names":false,"suffix":""},{"dropping-particle":"","family":"Teresa","given":"Ana","non-dropping-particle":"","parse-names":false,"suffix":""},{"dropping-particle":"","family":"Duarte","given":"Catarina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A.","non-dropping-particle":"","parse-names":false,"suffix":""}],"container-title":"Journal of Functional Foods","id":"ITEM-1","issued":{"date-parts":[["2018"]]},"page":"605-613","publisher":"Elsevier","title":"Evaluating the behaviour of curcumin nanoemulsions and multilayer nanoemulsions during dynamic in vitro digestion","type":"article-journal","volume":"48"},"uris":["http://www.mendeley.com/documents/?uuid=79f36988-72c3-47ce-8501-ce4e6ac70d06"]},{"id":"ITEM-2","itemData":{"DOI":"10.1016/j.foodhyd.2008.08.005","ISBN":"0268-005X","ISSN":"0268-005X","abstract":"We consider the essential molecular features of hydrocolloids having the ability to act as emulsifying agents and emulsion stabilizing agents. The criteria for effectiveness in protecting newly formed droplets against flocculation and coalescence are contrasted with the requirements to maintain long-term stability against aggregation, creaming and Ostwald ripening. To illustrate various aspects of stability behaviour, comparison is made between the physico-chemical characteristics of hydrocolloid emulsi-fying agents and those of other kinds of food emulsifying agents-surfactants, proteins and nano-particles. Interfacial complexation between protein and polysaccharide may occur through covalent bonding or electrostatic bonding. For the case of electrostatic protein-polysaccharide complexes, the interfacial nanostructure and the stabilizing properties of the adsorbed layer are dependent, amongst other things, on the sequence of adsorption of the biopolymers to the emulsion droplet surface.","author":[{"dropping-particle":"","family":"Dickinson","given":"Eric","non-dropping-particle":"","parse-names":false,"suffix":""},{"dropping-particle":"","family":"Eric","given":"Dickinson","non-dropping-particle":"","parse-names":false,"suffix":""}],"container-title":"Food Hydrocolloids","id":"ITEM-2","issue":"6","issued":{"date-parts":[["2009"]]},"page":"1473-1482","publisher":"Elsevier Ltd","title":"Hydrocolloids as emulsifiers and emulsion stabilizers","type":"article-journal","volume":"23"},"uris":["http://www.mendeley.com/documents/?uuid=57f61b7a-60db-4b94-8548-bf53b9a7d246"]}],"mendeley":{"formattedCitation":"(Dickinson and Eric, 2009; Silva &lt;i&gt;et al.&lt;/i&gt;, 2018)","plainTextFormattedCitation":"(Dickinson and Eric, 2009; Silva et al., 2018)","previouslyFormattedCitation":"(Dickinson and Eric, 2009; Silva &lt;i&gt;et al.&lt;/i&gt;, 2018)"},"properties":{"noteIndex":0},"schema":"https://github.com/citation-style-language/schema/raw/master/csl-citation.json"}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(Dickinson and Eric, 2009; Silva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2018)</w:t>
      </w:r>
      <w:r w:rsidR="00824660">
        <w:rPr>
          <w:rFonts w:ascii="Palatino Linotype" w:hAnsi="Palatino Linotype"/>
          <w:sz w:val="24"/>
          <w:szCs w:val="24"/>
        </w:rPr>
        <w:fldChar w:fldCharType="end"/>
      </w:r>
      <w:r w:rsidRPr="00824660">
        <w:rPr>
          <w:rFonts w:ascii="Palatino Linotype" w:hAnsi="Palatino Linotype"/>
          <w:sz w:val="24"/>
          <w:szCs w:val="24"/>
        </w:rPr>
        <w:t>. This can be accomplished by alternating the adsorption of charged emulsifiers.</w:t>
      </w:r>
    </w:p>
    <w:p w14:paraId="5392FA41" w14:textId="39748EBA" w:rsidR="00FD6312" w:rsidRPr="00824660" w:rsidRDefault="00FD6312" w:rsidP="00824660">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Increasing the physicochemical resistance of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to the effects of their surrounding environment can be accomplished in a few different ways. One of these ways is by employing multilayer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as a method. When deciding which lipid </w:t>
      </w:r>
      <w:proofErr w:type="spellStart"/>
      <w:r w:rsidRPr="00824660">
        <w:rPr>
          <w:rFonts w:ascii="Palatino Linotype" w:hAnsi="Palatino Linotype"/>
          <w:sz w:val="24"/>
          <w:szCs w:val="24"/>
        </w:rPr>
        <w:t>nanosystem</w:t>
      </w:r>
      <w:proofErr w:type="spellEnd"/>
      <w:r w:rsidRPr="00824660">
        <w:rPr>
          <w:rFonts w:ascii="Palatino Linotype" w:hAnsi="Palatino Linotype"/>
          <w:sz w:val="24"/>
          <w:szCs w:val="24"/>
        </w:rPr>
        <w:t xml:space="preserve"> to use, it is important to keep in mind the application that will ultimately be carried out with the system. It is common knowledge that the high surface area of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makes it possible to quicken the chemical reactions that take place at the oil-water interface. This is because of the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ability to increase the rate of chemical reactions. The hydrolysis of lipases is a good illustration of this principle in action. Altering the interfacial properties through the deposition of polyelectrolyte layers, on the other hand, may help control the digestibility of lipids by improving the integrity of the coating and preventing lipase and other enzymes from reaching the lipids that are encapsulated</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{"citationItems":[{"id":"ITEM-1","itemData":{"DOI":"10.1016/j.cis.2010.06.010","ISBN":"0001-8686","ISSN":"00018686","PMID":"20638649","abstract":"There is a need for edible delivery systems to encapsulate, protect and release bioactive and functional lipophilic constituents within the food and pharmaceutical industries. These delivery systems could be used for a number of purposes: controlling lipid bioavailability; targeting the delivery of bioactive components within the gastrointestinal tract; and designing food matrices that delay lipid digestion and induce satiety. Emulsion technology is particularly suited for the design and fabrication of delivery systems for lipids. In this article we provide an overview of a number of emulsion-based technologies that can be used as edible delivery systems by the food and other industries, including conventional emulsions, nanoemulsions, multilayer emulsions, solid lipid particles, and filled hydrogel particles. Each of these delivery systems can be produced from food-grade (GRAS) ingredients (e.g., lipids, proteins, polysaccharides, surfactants, and minerals) using relatively simple processing operations (e.g., mixing, homogenizing, and thermal processing). The structure, preparation, and utilization of each type of delivery system for controlling lipid digestion are discussed. This knowledge can be used to select the most appropriate emulsion-based delivery system for specific applications, such as encapsulation, controlled digestion, and targeted release. © 2010 Elsevier B.V. All rights reserved.","author":[{"dropping-particle":"","family":"McClements","given":"David Julian","non-dropping-particle":"","parse-names":false,"suffix":""},{"dropping-particle":"","family":"Li","given":"Yan","non-dropping-particle":"","parse-names":false,"suffix":""}],"container-title":"Advances in Colloid and Interface Science","id":"ITEM-1","issue":"2","issued":{"date-parts":[["2010"]]},"page":"213-228","publisher":"Elsevier B.V.","title":"Structured emulsion-based delivery systems: Controlling the digestion and release of lipophilic food components","type":"article-journal","volume":"159"},"uris":["http://www.mendeley.com/documents/?uuid=35a30616-c9c3-4e4c-ab2a-238b4ac9a995"]}],"mendeley":{"formattedCitation":"(McClements and Li, 2010)","plainTextFormattedCitation":"(McClements and Li, 2010)","previouslyFormattedCitation":"(McClements and Li, 2010)"},"properties":{"noteIndex":0},"schema":"https://github.com/citation-style-language/schema/raw/master/csl-citation.json"}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(McClements and Li, 2010)</w:t>
      </w:r>
      <w:r w:rsidR="00824660">
        <w:rPr>
          <w:rFonts w:ascii="Palatino Linotype" w:hAnsi="Palatino Linotype"/>
          <w:sz w:val="24"/>
          <w:szCs w:val="24"/>
        </w:rPr>
        <w:fldChar w:fldCharType="end"/>
      </w:r>
      <w:r w:rsidRPr="00824660">
        <w:rPr>
          <w:rFonts w:ascii="Palatino Linotype" w:hAnsi="Palatino Linotype"/>
          <w:sz w:val="24"/>
          <w:szCs w:val="24"/>
        </w:rPr>
        <w:t xml:space="preserve">. This is accomplished by improving the coating's barrier properties. This is feasible </w:t>
      </w:r>
      <w:proofErr w:type="gramStart"/>
      <w:r w:rsidRPr="00824660">
        <w:rPr>
          <w:rFonts w:ascii="Palatino Linotype" w:hAnsi="Palatino Linotype"/>
          <w:sz w:val="24"/>
          <w:szCs w:val="24"/>
        </w:rPr>
        <w:t>as a result of</w:t>
      </w:r>
      <w:proofErr w:type="gramEnd"/>
      <w:r w:rsidRPr="00824660">
        <w:rPr>
          <w:rFonts w:ascii="Palatino Linotype" w:hAnsi="Palatino Linotype"/>
          <w:sz w:val="24"/>
          <w:szCs w:val="24"/>
        </w:rPr>
        <w:t xml:space="preserve"> the improvement in the coating's integrity.</w:t>
      </w:r>
    </w:p>
    <w:p w14:paraId="4C978BEE" w14:textId="666F4B20" w:rsidR="00FD6312" w:rsidRPr="00824660" w:rsidRDefault="00FD6312" w:rsidP="00824660">
      <w:pPr>
        <w:spacing w:after="0" w:line="240" w:lineRule="auto"/>
        <w:jc w:val="both"/>
        <w:rPr>
          <w:rFonts w:ascii="Palatino Linotype" w:hAnsi="Palatino Linotype"/>
          <w:sz w:val="24"/>
          <w:szCs w:val="24"/>
        </w:rPr>
      </w:pPr>
    </w:p>
    <w:p w14:paraId="56A202F5" w14:textId="20586645" w:rsidR="00FD6312" w:rsidRPr="00824660" w:rsidRDefault="00FD6312" w:rsidP="00824660">
      <w:pPr>
        <w:spacing w:after="0" w:line="240" w:lineRule="auto"/>
        <w:jc w:val="both"/>
        <w:rPr>
          <w:rFonts w:ascii="Palatino Linotype" w:hAnsi="Palatino Linotype"/>
          <w:sz w:val="24"/>
          <w:szCs w:val="24"/>
        </w:rPr>
      </w:pPr>
      <w:r w:rsidRPr="00824660">
        <w:rPr>
          <w:rFonts w:ascii="Palatino Linotype" w:hAnsi="Palatino Linotype" w:cstheme="minorHAnsi"/>
          <w:noProof/>
          <w:sz w:val="24"/>
          <w:szCs w:val="24"/>
        </w:rPr>
        <w:lastRenderedPageBreak/>
        <w:drawing>
          <wp:inline distT="0" distB="0" distL="0" distR="0" wp14:anchorId="7A5822CE" wp14:editId="223C2C74">
            <wp:extent cx="5821640" cy="28812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2715" cy="2886704"/>
                    </a:xfrm>
                    <a:prstGeom prst="rect">
                      <a:avLst/>
                    </a:prstGeom>
                  </pic:spPr>
                </pic:pic>
              </a:graphicData>
            </a:graphic>
          </wp:inline>
        </w:drawing>
      </w:r>
    </w:p>
    <w:p w14:paraId="1C555422" w14:textId="5855B423" w:rsidR="00824660" w:rsidRDefault="00B1356F" w:rsidP="00824660">
      <w:pPr>
        <w:spacing w:after="0" w:line="240" w:lineRule="auto"/>
        <w:jc w:val="both"/>
        <w:rPr>
          <w:rFonts w:ascii="Palatino Linotype" w:hAnsi="Palatino Linotype"/>
          <w:sz w:val="24"/>
          <w:szCs w:val="24"/>
        </w:rPr>
      </w:pPr>
      <w:r w:rsidRPr="007A1605">
        <w:rPr>
          <w:rFonts w:ascii="Palatino Linotype" w:hAnsi="Palatino Linotype"/>
          <w:b/>
          <w:bCs/>
          <w:sz w:val="24"/>
          <w:szCs w:val="24"/>
        </w:rPr>
        <w:t>Figure 5</w:t>
      </w:r>
      <w:r w:rsidRPr="00824660">
        <w:rPr>
          <w:rFonts w:ascii="Palatino Linotype" w:hAnsi="Palatino Linotype"/>
          <w:sz w:val="24"/>
          <w:szCs w:val="24"/>
        </w:rPr>
        <w:t xml:space="preserve">. The following are the stages involved in the production of multilayer emulsions: </w:t>
      </w:r>
      <w:r w:rsidR="007A1605">
        <w:rPr>
          <w:rFonts w:ascii="Palatino Linotype" w:hAnsi="Palatino Linotype"/>
          <w:sz w:val="24"/>
          <w:szCs w:val="24"/>
        </w:rPr>
        <w:t>(</w:t>
      </w:r>
      <w:proofErr w:type="spellStart"/>
      <w:r w:rsidR="007A1605">
        <w:rPr>
          <w:rFonts w:ascii="Palatino Linotype" w:hAnsi="Palatino Linotype"/>
          <w:sz w:val="24"/>
          <w:szCs w:val="24"/>
        </w:rPr>
        <w:t>i</w:t>
      </w:r>
      <w:proofErr w:type="spellEnd"/>
      <w:r w:rsidR="007A1605">
        <w:rPr>
          <w:rFonts w:ascii="Palatino Linotype" w:hAnsi="Palatino Linotype"/>
          <w:sz w:val="24"/>
          <w:szCs w:val="24"/>
        </w:rPr>
        <w:t>)</w:t>
      </w:r>
      <w:r w:rsidRPr="00824660">
        <w:rPr>
          <w:rFonts w:ascii="Palatino Linotype" w:hAnsi="Palatino Linotype"/>
          <w:sz w:val="24"/>
          <w:szCs w:val="24"/>
        </w:rPr>
        <w:t xml:space="preserve"> in primary emulsions, the oil and aqueous phases are homogenized together in the presence of a charged water-soluble emulsifier; (ii) in secondary emulsions, an oppositely charged polyelectrolyte is added to coat the droplets; and (iii) in multilayer emulsions, sequential polyelectrolyte adsorption steps can be carried out</w:t>
      </w:r>
      <w:r w:rsidR="00824660">
        <w:rPr>
          <w:rFonts w:ascii="Palatino Linotype" w:hAnsi="Palatino Linotype"/>
          <w:sz w:val="24"/>
          <w:szCs w:val="24"/>
        </w:rPr>
        <w:fldChar w:fldCharType="begin" w:fldLock="1"/>
      </w:r>
      <w:r w:rsidR="0080269F">
        <w:rPr>
          <w:rFonts w:ascii="Palatino Linotype" w:hAnsi="Palatino Linotype"/>
          <w:sz w:val="24"/>
          <w:szCs w:val="24"/>
        </w:rPr>
        <w:instrText>ADDIN CSL_CITATION {"citationItems":[{"id":"ITEM-1","itemData":{"DOI":"10.1016/j.cis.2010.06.010","ISBN":"0001-8686","ISSN":"00018686","PMID":"20638649","abstract":"There is a need for edible delivery systems to encapsulate, protect and release bioactive and functional lipophilic constituents within the food and pharmaceutical industries. These delivery systems could be used for a number of purposes: controlling lipid bioavailability; targeting the delivery of bioactive components within the gastrointestinal tract; and designing food matrices that delay lipid digestion and induce satiety. Emulsion technology is particularly suited for the design and fabrication of delivery systems for lipids. In this article we provide an overview of a number of emulsion-based technologies that can be used as edible delivery systems by the food and other industries, including conventional emulsions, nanoemulsions, multilayer emulsions, solid lipid particles, and filled hydrogel particles. Each of these delivery systems can be produced from food-grade (GRAS) ingredients (e.g., lipids, proteins, polysaccharides, surfactants, and minerals) using relatively simple processing operations (e.g., mixing, homogenizing, and thermal processing). The structure, preparation, and utilization of each type of delivery system for controlling lipid digestion are discussed. This knowledge can be used to select the most appropriate emulsion-based delivery system for specific applications, such as encapsulation, controlled digestion, and targeted release. © 2010 Elsevier B.V. All rights reserved.","author":[{"dropping-particle":"","family":"McClements","given":"David Julian","non-dropping-particle":"","parse-names":false,"suffix":""},{"dropping-particle":"","family":"Li","given":"Yan","non-dropping-particle":"","parse-names":false,"suffix":""}],"container-title":"Advances in Colloid and Interface Science","id":"ITEM-1","issue":"2","issued":{"date-parts":[["2010"]]},"page":"213-228","publisher":"Elsevier B.V.","title":"Structured emulsion-based delivery systems: Controlling the digestion and release of lipophilic food components","type":"article-journal","volume":"159"},"uris":["http://www.mendeley.com/documents/?uuid=35a30616-c9c3-4e4c-ab2a-238b4ac9a995"]}],"mendeley":{"formattedCitation":"(McClements and Li, 2010)","plainTextFormattedCitation":"(McClements and Li, 2010)","previouslyFormattedCitation":"(McClements and Li, 2010)"},"properties":{"noteIndex":0},"schema":"https://github.com/citation-style-language/schema/raw/master/csl-citation.json"}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(McClements and Li, 2010)</w:t>
      </w:r>
      <w:r w:rsidR="00824660">
        <w:rPr>
          <w:rFonts w:ascii="Palatino Linotype" w:hAnsi="Palatino Linotype"/>
          <w:sz w:val="24"/>
          <w:szCs w:val="24"/>
        </w:rPr>
        <w:fldChar w:fldCharType="end"/>
      </w:r>
      <w:r w:rsidR="00824660">
        <w:rPr>
          <w:rFonts w:ascii="Palatino Linotype" w:hAnsi="Palatino Linotype"/>
          <w:sz w:val="24"/>
          <w:szCs w:val="24"/>
        </w:rPr>
        <w:t xml:space="preserve">. </w:t>
      </w:r>
    </w:p>
    <w:p w14:paraId="02EFD9D7" w14:textId="77777777" w:rsidR="00824660" w:rsidRDefault="00824660" w:rsidP="00824660">
      <w:pPr>
        <w:spacing w:after="0" w:line="240" w:lineRule="auto"/>
        <w:jc w:val="both"/>
        <w:rPr>
          <w:rFonts w:ascii="Palatino Linotype" w:hAnsi="Palatino Linotype"/>
          <w:sz w:val="24"/>
          <w:szCs w:val="24"/>
        </w:rPr>
      </w:pPr>
    </w:p>
    <w:p w14:paraId="3B880998" w14:textId="4218AFD0" w:rsidR="00B1356F" w:rsidRDefault="00FD6312" w:rsidP="007A1605">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In one study, a dynamic gastrointestinal (GI) system was used to investigate the effect of </w:t>
      </w:r>
      <w:proofErr w:type="spellStart"/>
      <w:r w:rsidRPr="00824660">
        <w:rPr>
          <w:rFonts w:ascii="Palatino Linotype" w:hAnsi="Palatino Linotype"/>
          <w:sz w:val="24"/>
          <w:szCs w:val="24"/>
        </w:rPr>
        <w:t>nanosystems</w:t>
      </w:r>
      <w:proofErr w:type="spellEnd"/>
      <w:r w:rsidRPr="00824660">
        <w:rPr>
          <w:rFonts w:ascii="Palatino Linotype" w:hAnsi="Palatino Linotype"/>
          <w:sz w:val="24"/>
          <w:szCs w:val="24"/>
        </w:rPr>
        <w:t xml:space="preserve">' interfacial composition using multilayer chitosan and alginate on the stability of curcumin during in vitro digestion, as well as on the digestibility of lipids, curcumin </w:t>
      </w:r>
      <w:proofErr w:type="spellStart"/>
      <w:r w:rsidRPr="00824660">
        <w:rPr>
          <w:rFonts w:ascii="Palatino Linotype" w:hAnsi="Palatino Linotype"/>
          <w:sz w:val="24"/>
          <w:szCs w:val="24"/>
        </w:rPr>
        <w:t>bioaccessibility</w:t>
      </w:r>
      <w:proofErr w:type="spellEnd"/>
      <w:r w:rsidRPr="00824660">
        <w:rPr>
          <w:rFonts w:ascii="Palatino Linotype" w:hAnsi="Palatino Linotype"/>
          <w:sz w:val="24"/>
          <w:szCs w:val="24"/>
        </w:rPr>
        <w:t xml:space="preserve">, and antioxidant activity. Chitosan and alginate were used in the multilayer construction of the </w:t>
      </w:r>
      <w:proofErr w:type="spellStart"/>
      <w:r w:rsidRPr="00824660">
        <w:rPr>
          <w:rFonts w:ascii="Palatino Linotype" w:hAnsi="Palatino Linotype"/>
          <w:sz w:val="24"/>
          <w:szCs w:val="24"/>
        </w:rPr>
        <w:t>nanosystems</w:t>
      </w:r>
      <w:proofErr w:type="spellEnd"/>
      <w:r w:rsidRPr="00824660">
        <w:rPr>
          <w:rFonts w:ascii="Palatino Linotype" w:hAnsi="Palatino Linotype"/>
          <w:sz w:val="24"/>
          <w:szCs w:val="24"/>
        </w:rPr>
        <w:t xml:space="preserve">.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were successful in producing the most </w:t>
      </w:r>
      <w:proofErr w:type="spellStart"/>
      <w:r w:rsidRPr="00824660">
        <w:rPr>
          <w:rFonts w:ascii="Palatino Linotype" w:hAnsi="Palatino Linotype"/>
          <w:sz w:val="24"/>
          <w:szCs w:val="24"/>
        </w:rPr>
        <w:t>bioaccessible</w:t>
      </w:r>
      <w:proofErr w:type="spellEnd"/>
      <w:r w:rsidRPr="00824660">
        <w:rPr>
          <w:rFonts w:ascii="Palatino Linotype" w:hAnsi="Palatino Linotype"/>
          <w:sz w:val="24"/>
          <w:szCs w:val="24"/>
        </w:rPr>
        <w:t xml:space="preserve"> form of curcumin, while multilayer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were able to successfully control the amount of lipid that could be digested. This was accomplished by reducing the amount of lipids that were digested and absorbed as well as significantly slowing down the rate at which lipids were digested. The findings also suggest that the inclusion of polyelectrolyte layers was effective in shielding curcumin from changes that occur in the gastrointestinal tract, thereby better maintaining its antioxidant capacity throughout digestion</w:t>
      </w:r>
      <w:r w:rsidR="00824660">
        <w:rPr>
          <w:rFonts w:ascii="Palatino Linotype" w:hAnsi="Palatino Linotype"/>
          <w:sz w:val="24"/>
          <w:szCs w:val="24"/>
        </w:rPr>
        <w:t xml:space="preserve"> </w:t>
      </w:r>
      <w:r w:rsidR="00824660">
        <w:rPr>
          <w:rFonts w:ascii="Palatino Linotype" w:hAnsi="Palatino Linotype"/>
          <w:sz w:val="24"/>
          <w:szCs w:val="24"/>
        </w:rPr>
        <w:fldChar w:fldCharType="begin" w:fldLock="1"/>
      </w:r>
      <w:r w:rsidR="0080269F">
        <w:rPr>
          <w:rFonts w:ascii="Palatino Linotype" w:hAnsi="Palatino Linotype"/>
          <w:sz w:val="24"/>
          <w:szCs w:val="24"/>
        </w:rPr>
        <w:instrText xml:space="preserve">ADDIN CSL_CITATION {"citationItems":[{"id":"ITEM-1","itemData":{"DOI":"10.1016/j.foodhyd.2019.02.024","ISBN":"1309375283","ISSN":"0268005X","author":[{"dropping-particle":"","family":"Fang","given":"Sheng","non-dropping-particle":"","parse-names":false,"suffix":""},{"dropping-particle":"","family":"Zhao","given":"Xiaojian","non-dropping-particle":"","parse-names":false,"suffix":""},{"dropping-particle":"","family":"Liu","given":"Yanmei","non-dropping-particle":"","parse-names":false,"suffix":""},{"dropping-particle":"","family":"Liang","given":"Xianrui","non-dropping-particle":"","parse-names":false,"suffix":""},{"dropping-particle":"","family":"Yang","given":"Yuexi","non-dropping-particle":"","parse-names":false,"suffix":""}],"container-title":"Food Hydrocolloids","id":"ITEM-1","issued":{"date-parts":[["2019"]]},"page":"102-110","publisher":"Elsevier Ltd","title":"Fabricating multilayer emulsions by using OSA starch and chitosan suitable for spray drying: Application in the encapsulation of β-carotene","type":"article-journal","volume":"93"},"uris":["http://www.mendeley.com/documents/?uuid=9a4076bc-b615-4e64-b0ac-e6e0a216d13b"]},{"id":"ITEM-2","itemData":{"DOI":"10.1016/j.jcis.2005.09.023","ISBN":"0021-9797 (Print)\\n0021-9797 (Linking)","ISSN":"00219797","PMID":"16203009","abstract":"The objective of this study was to establish the influence of polyelectrolyte characteristics (molecular weight and charge density) on the properties of oil-in-water emulsions containing oil droplets surrounded by surfactant-polyelectrolyte layers. A surfactant-stabilized emulsion containing small droplets (d32≈0.3 μm) was prepared by homogenizing 20 wt% corn oil with 80 wt% emulsifier solution (20 mM SDS or 2.5 wt% Tween 20, 100 mM acetate buffer, pH 3) using a high-pressure valve homogenizer. This primary emulsion was then diluted with various chitosan solutions to produce secondary emulsions with a range of chitosan concentrations (3 wt% corn oil, 0-1 wt% chitosan). The influence of the molecular characteristics of chitosan on the properties of these emulsions was examined by using chitosan ingredients with different molecular weights (MW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15, 145, and 200 kDa) and degree of deacetylation (DDA </w:instrText>
      </w:r>
      <w:r w:rsidR="0080269F">
        <w:rPr>
          <w:rFonts w:ascii="Cambria Math" w:hAnsi="Cambria Math" w:cs="Cambria Math"/>
          <w:sz w:val="24"/>
          <w:szCs w:val="24"/>
        </w:rPr>
        <w:instrText>∼</w:instrText>
      </w:r>
      <w:r w:rsidR="0080269F">
        <w:rPr>
          <w:rFonts w:ascii="Palatino Linotype" w:hAnsi="Palatino Linotype"/>
          <w:sz w:val="24"/>
          <w:szCs w:val="24"/>
        </w:rPr>
        <w:instrText xml:space="preserve"> 40, 77, and 92%). The electrical charge and particle size of the secondary emulsions were then measured. Extensive droplet aggregation occurred when the chitosan concentration was below the amount required to saturate the droplet surfaces, but stable emulsions could be formed at higher chitosan concentrations. The ζ-potential and mean diameter (d32) of the particles in the secondary emulsions was not strongly influenced by chitosan MW, however the chitosan with the lowest DDA (40%) produced droplets with smaller mean diameters and ζ-potentials than the other two DDA samples examined. Interestingly, we found that stable multilayer emulsions could be formed by mixing medium or high MW chitosan with an emulsion stabilized by a non-ionic surfactant (Tween 20) due to the fact the initial droplets had some negative charge. The information obtained from this study is useful for preparing emulsions stabilized by multilayer interfacial layers. © 2005 Elsevier Inc. All rights reserved.","author":[{"dropping-particle":"","family":"Mun","given":"Saehun","non-dropping-particle":"","parse-names":false,"suffix":""},{"dropping-particle":"","family":"Decker","given":"Eric A.","non-dropping-particle":"","parse-names":false,"suffix":""},{"dropping-particle":"","family":"Mcclements","given":"D. Julian","non-dropping-particle":"","parse-names":false,"suffix":""}],"container-title":"Journal of Colloid and Interface Science","id":"ITEM-2","issue":"2","issued":{"date-parts":[["2006"]]},"page":"581-590","title":"Effect of molecular weight and degree of deacetylation of chitosan on the formation of oil-in-water emulsions stabilized by surfactant-chitosan membranes","type":"article-journal","volume":"296"},"uris":["http://www.mendeley.com/documents/?uuid=ed39fa7f-c533-4cdb-97bb-ae1bc1efd033"]},{"id":"ITEM-3","itemData":{"DOI":"10.1016/j.jff.2018.08.002","ISSN":"17564646","abstract":"Nanoemulsions can be used to improve the bioaccessibility of lipophilic bioactive compounds, such as curcumin, being their behaviour highly influenced by their interfacial properties. The effect of chitosan and alginate layers’ deposition on curcumin nanoemulsions’ behaviour during in vitro digestion was evaluated using a dynamic gastrointestinal system. Results showed that polyelectrolyte layers’ deposition improved curcumin antioxidant capacity during in vitro digestion. In addition, multilayer nanoemulsions showed a better control of the rate and extent of lipid digestibility by decreasing free fatty acids release, compared to uncoated nanoemulsions. However, a lower curcumin bioaccessibility was observed for multilayer nanoemulsions. Although cytotoxicity assays revealed that both nanosystems are toxic due to the use of sodium dodecyl sulphate (SDS), nanosystems were 3.3-fold less toxic than SDS itself. This study showed that multilayer nanoemulsions could be used to increase satiety by retarding lipid digestion, which can be important for functional foods development for combating obesity.","author":[{"dropping-particle":"","family":"Silva","given":"Hélder D.","non-dropping-particle":"","parse-names":false,"suffix":""},{"dropping-particle":"","family":"Poejo","given":"Joana","non-dropping-particle":"","parse-names":false,"suffix":""},{"dropping-particle":"","family":"Pinheiro","given":"Ana C.","non-dropping-particle":"","parse-names":false,"suffix":""},{"dropping-particle":"","family":"Donsì","given":"Francesco","non-dropping-particle":"","parse-names":false,"suffix":""},{"dropping-particle":"","family":"Serra","given":"Ana Teresa","non-dropping-particle":"","parse-names":false,"suffix":""},{"dropping-particle":"","family":"Duarte","given":"Catarina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A.","non-dropping-particle":"","parse-names":false,"suffix":""},{"dropping-particle":"","family":"Teresa","given":"Ana","non-dropping-particle":"","parse-names":false,"suffix":""},{"dropping-particle":"","family":"Duarte","given":"Catarina M.M. M","non-dropping-particle":"","parse-names":false,"suffix":""},{"dropping-particle":"","family":"Ferrari","given":"Giovanna","non-dropping-particle":"","parse-names":false,"suffix":""},{"dropping-particle":"","family":"Cerqueira","given":"Miguel A.","non-dropping-particle":"","parse-names":false,"suffix":""},{"dropping-particle":"","family":"Vicente","given":"António A.","non-dropping-particle":"","parse-names":false,"suffix":""}],"container-title":"Journal of Functional Foods","id":"ITEM-3","issued":{"date-parts":[["2018"]]},"page":"605-613","publisher":"Elsevier","title":"Evaluating the behaviour of curcumin nanoemulsions and multilayer nanoemulsions during dynamic in vitro digestion","type":"article-journal","volume":"48"},"uris":["http://www.mendeley.com/documents/?uuid=79f36988-72c3-47ce-8501-ce4e6ac70d06"]}],"mendeley":{"formattedCitation":"(Mun, Decker and Mcclements, 2006; Silva &lt;i&gt;et al.&lt;/i&gt;, 2018; Fang &lt;i&gt;et al.&lt;/i&gt;, 2019)","plainTextFormattedCitation":"(Mun, Decker and Mcclements, 2006; Silva et al., 2018; Fang et al., 2019)","previouslyFormattedCitation":"(Mun, Decker and Mcclements, 2006; Silva &lt;i&gt;et al.&lt;/i&gt;, 2018; Fang &lt;i&gt;et al.&lt;/i&gt;, 2019)"},"properties":{"noteIndex":0},"schema":"https://github.com/citation-style-language/schema/raw/master/csl-citation.json"}</w:instrText>
      </w:r>
      <w:r w:rsidR="00824660">
        <w:rPr>
          <w:rFonts w:ascii="Palatino Linotype" w:hAnsi="Palatino Linotype"/>
          <w:sz w:val="24"/>
          <w:szCs w:val="24"/>
        </w:rPr>
        <w:fldChar w:fldCharType="separate"/>
      </w:r>
      <w:r w:rsidR="007A1605" w:rsidRPr="007A1605">
        <w:rPr>
          <w:rFonts w:ascii="Palatino Linotype" w:hAnsi="Palatino Linotype"/>
          <w:noProof/>
          <w:sz w:val="24"/>
          <w:szCs w:val="24"/>
        </w:rPr>
        <w:t xml:space="preserve">(Mun, Decker and Mcclements, 2006; Silva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xml:space="preserve">, 2018; Fang </w:t>
      </w:r>
      <w:r w:rsidR="007A1605" w:rsidRPr="007A1605">
        <w:rPr>
          <w:rFonts w:ascii="Palatino Linotype" w:hAnsi="Palatino Linotype"/>
          <w:i/>
          <w:noProof/>
          <w:sz w:val="24"/>
          <w:szCs w:val="24"/>
        </w:rPr>
        <w:t>et al.</w:t>
      </w:r>
      <w:r w:rsidR="007A1605" w:rsidRPr="007A1605">
        <w:rPr>
          <w:rFonts w:ascii="Palatino Linotype" w:hAnsi="Palatino Linotype"/>
          <w:noProof/>
          <w:sz w:val="24"/>
          <w:szCs w:val="24"/>
        </w:rPr>
        <w:t>, 2019)</w:t>
      </w:r>
      <w:r w:rsidR="00824660">
        <w:rPr>
          <w:rFonts w:ascii="Palatino Linotype" w:hAnsi="Palatino Linotype"/>
          <w:sz w:val="24"/>
          <w:szCs w:val="24"/>
        </w:rPr>
        <w:fldChar w:fldCharType="end"/>
      </w:r>
      <w:r w:rsidRPr="00824660">
        <w:rPr>
          <w:rFonts w:ascii="Palatino Linotype" w:hAnsi="Palatino Linotype"/>
          <w:sz w:val="24"/>
          <w:szCs w:val="24"/>
        </w:rPr>
        <w:t>. This is suggested by the fact that the inclusion of polyelectrolyte layers was effective in shielding curcumin from changes that occur in the gastrointestinal tract.</w:t>
      </w:r>
    </w:p>
    <w:p w14:paraId="60E0C6A7" w14:textId="77777777" w:rsidR="00824660" w:rsidRPr="00824660" w:rsidRDefault="00824660" w:rsidP="00824660">
      <w:pPr>
        <w:spacing w:after="0" w:line="240" w:lineRule="auto"/>
        <w:jc w:val="both"/>
        <w:rPr>
          <w:rFonts w:ascii="Palatino Linotype" w:hAnsi="Palatino Linotype"/>
          <w:sz w:val="24"/>
          <w:szCs w:val="24"/>
        </w:rPr>
      </w:pPr>
    </w:p>
    <w:p w14:paraId="6CE4D6D8" w14:textId="77777777" w:rsidR="00B1356F" w:rsidRPr="007A1605" w:rsidRDefault="00B1356F" w:rsidP="00824660">
      <w:pPr>
        <w:spacing w:after="0" w:line="240" w:lineRule="auto"/>
        <w:jc w:val="both"/>
        <w:rPr>
          <w:rFonts w:ascii="Palatino Linotype" w:hAnsi="Palatino Linotype"/>
          <w:b/>
          <w:bCs/>
          <w:sz w:val="24"/>
          <w:szCs w:val="24"/>
        </w:rPr>
      </w:pPr>
      <w:r w:rsidRPr="007A1605">
        <w:rPr>
          <w:rFonts w:ascii="Palatino Linotype" w:hAnsi="Palatino Linotype"/>
          <w:b/>
          <w:bCs/>
          <w:sz w:val="24"/>
          <w:szCs w:val="24"/>
        </w:rPr>
        <w:t>CONCLUSION</w:t>
      </w:r>
    </w:p>
    <w:p w14:paraId="1FA26BD3" w14:textId="6FD74E85" w:rsidR="002924B2" w:rsidRDefault="00FD6312" w:rsidP="007A1605">
      <w:pPr>
        <w:spacing w:after="0" w:line="240" w:lineRule="auto"/>
        <w:ind w:firstLine="720"/>
        <w:jc w:val="both"/>
        <w:rPr>
          <w:rFonts w:ascii="Palatino Linotype" w:hAnsi="Palatino Linotype"/>
          <w:sz w:val="24"/>
          <w:szCs w:val="24"/>
        </w:rPr>
      </w:pPr>
      <w:r w:rsidRPr="00824660">
        <w:rPr>
          <w:rFonts w:ascii="Palatino Linotype" w:hAnsi="Palatino Linotype"/>
          <w:sz w:val="24"/>
          <w:szCs w:val="24"/>
        </w:rPr>
        <w:t xml:space="preserve">Chitosan </w:t>
      </w:r>
      <w:proofErr w:type="gramStart"/>
      <w:r w:rsidRPr="00824660">
        <w:rPr>
          <w:rFonts w:ascii="Palatino Linotype" w:hAnsi="Palatino Linotype"/>
          <w:sz w:val="24"/>
          <w:szCs w:val="24"/>
        </w:rPr>
        <w:t>has the ability to</w:t>
      </w:r>
      <w:proofErr w:type="gramEnd"/>
      <w:r w:rsidRPr="00824660">
        <w:rPr>
          <w:rFonts w:ascii="Palatino Linotype" w:hAnsi="Palatino Linotype"/>
          <w:sz w:val="24"/>
          <w:szCs w:val="24"/>
        </w:rPr>
        <w:t xml:space="preserve"> improve the stability of encapsulated curcumin as well as the qualities associated with its release. Chitosan also </w:t>
      </w:r>
      <w:proofErr w:type="gramStart"/>
      <w:r w:rsidRPr="00824660">
        <w:rPr>
          <w:rFonts w:ascii="Palatino Linotype" w:hAnsi="Palatino Linotype"/>
          <w:sz w:val="24"/>
          <w:szCs w:val="24"/>
        </w:rPr>
        <w:t>has the ability to</w:t>
      </w:r>
      <w:proofErr w:type="gramEnd"/>
      <w:r w:rsidRPr="00824660">
        <w:rPr>
          <w:rFonts w:ascii="Palatino Linotype" w:hAnsi="Palatino Linotype"/>
          <w:sz w:val="24"/>
          <w:szCs w:val="24"/>
        </w:rPr>
        <w:t xml:space="preserve"> improve the </w:t>
      </w:r>
      <w:r w:rsidRPr="00824660">
        <w:rPr>
          <w:rFonts w:ascii="Palatino Linotype" w:hAnsi="Palatino Linotype"/>
          <w:sz w:val="24"/>
          <w:szCs w:val="24"/>
        </w:rPr>
        <w:lastRenderedPageBreak/>
        <w:t xml:space="preserve">quality of the curcumin that is released. When using the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system, covering curcumin with chitosan not only protected it from deterioration during the heat treatment phase, but it also protected it from deterioration while it was being stored. This was possible because of the </w:t>
      </w:r>
      <w:proofErr w:type="spellStart"/>
      <w:r w:rsidRPr="00824660">
        <w:rPr>
          <w:rFonts w:ascii="Palatino Linotype" w:hAnsi="Palatino Linotype"/>
          <w:sz w:val="24"/>
          <w:szCs w:val="24"/>
        </w:rPr>
        <w:t>nanoemulsion's</w:t>
      </w:r>
      <w:proofErr w:type="spellEnd"/>
      <w:r w:rsidRPr="00824660">
        <w:rPr>
          <w:rFonts w:ascii="Palatino Linotype" w:hAnsi="Palatino Linotype"/>
          <w:sz w:val="24"/>
          <w:szCs w:val="24"/>
        </w:rPr>
        <w:t xml:space="preserve"> ability to form a protective barrier. When compared to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on its own, multilayer </w:t>
      </w:r>
      <w:proofErr w:type="spellStart"/>
      <w:r w:rsidRPr="00824660">
        <w:rPr>
          <w:rFonts w:ascii="Palatino Linotype" w:hAnsi="Palatino Linotype"/>
          <w:sz w:val="24"/>
          <w:szCs w:val="24"/>
        </w:rPr>
        <w:t>nanoemulsion</w:t>
      </w:r>
      <w:proofErr w:type="spellEnd"/>
      <w:r w:rsidRPr="00824660">
        <w:rPr>
          <w:rFonts w:ascii="Palatino Linotype" w:hAnsi="Palatino Linotype"/>
          <w:sz w:val="24"/>
          <w:szCs w:val="24"/>
        </w:rPr>
        <w:t xml:space="preserve"> that included chitosan provided superior protection for curcumin. This was achieved </w:t>
      </w:r>
      <w:proofErr w:type="gramStart"/>
      <w:r w:rsidRPr="00824660">
        <w:rPr>
          <w:rFonts w:ascii="Palatino Linotype" w:hAnsi="Palatino Linotype"/>
          <w:sz w:val="24"/>
          <w:szCs w:val="24"/>
        </w:rPr>
        <w:t>despite the fact that</w:t>
      </w:r>
      <w:proofErr w:type="gramEnd"/>
      <w:r w:rsidRPr="00824660">
        <w:rPr>
          <w:rFonts w:ascii="Palatino Linotype" w:hAnsi="Palatino Linotype"/>
          <w:sz w:val="24"/>
          <w:szCs w:val="24"/>
        </w:rPr>
        <w:t xml:space="preserve"> </w:t>
      </w:r>
      <w:proofErr w:type="spellStart"/>
      <w:r w:rsidRPr="00824660">
        <w:rPr>
          <w:rFonts w:ascii="Palatino Linotype" w:hAnsi="Palatino Linotype"/>
          <w:sz w:val="24"/>
          <w:szCs w:val="24"/>
        </w:rPr>
        <w:t>bioaccessibility</w:t>
      </w:r>
      <w:proofErr w:type="spellEnd"/>
      <w:r w:rsidRPr="00824660">
        <w:rPr>
          <w:rFonts w:ascii="Palatino Linotype" w:hAnsi="Palatino Linotype"/>
          <w:sz w:val="24"/>
          <w:szCs w:val="24"/>
        </w:rPr>
        <w:t xml:space="preserve"> was reduced.</w:t>
      </w:r>
    </w:p>
    <w:p w14:paraId="25C9F2D5" w14:textId="4F758C4D" w:rsidR="007A1605" w:rsidRDefault="007A1605" w:rsidP="007A1605">
      <w:pPr>
        <w:spacing w:after="0" w:line="240" w:lineRule="auto"/>
        <w:jc w:val="both"/>
        <w:rPr>
          <w:rFonts w:ascii="Palatino Linotype" w:hAnsi="Palatino Linotype"/>
          <w:sz w:val="24"/>
          <w:szCs w:val="24"/>
        </w:rPr>
      </w:pPr>
    </w:p>
    <w:p w14:paraId="6B944547" w14:textId="122E1E25" w:rsidR="007A1605" w:rsidRPr="0080269F" w:rsidRDefault="007A1605" w:rsidP="007A1605">
      <w:pPr>
        <w:spacing w:after="0" w:line="240" w:lineRule="auto"/>
        <w:jc w:val="both"/>
        <w:rPr>
          <w:rFonts w:ascii="Palatino Linotype" w:hAnsi="Palatino Linotype"/>
          <w:b/>
          <w:bCs/>
          <w:sz w:val="24"/>
          <w:szCs w:val="24"/>
        </w:rPr>
      </w:pPr>
      <w:r w:rsidRPr="0080269F">
        <w:rPr>
          <w:rFonts w:ascii="Palatino Linotype" w:hAnsi="Palatino Linotype"/>
          <w:b/>
          <w:bCs/>
          <w:sz w:val="24"/>
          <w:szCs w:val="24"/>
        </w:rPr>
        <w:t>REFERENCES</w:t>
      </w:r>
    </w:p>
    <w:p w14:paraId="0E4739E7" w14:textId="5D84F8D5" w:rsidR="007A1605" w:rsidRDefault="007A1605" w:rsidP="007A1605">
      <w:pPr>
        <w:spacing w:after="0" w:line="240" w:lineRule="auto"/>
        <w:jc w:val="both"/>
        <w:rPr>
          <w:rFonts w:ascii="Palatino Linotype" w:hAnsi="Palatino Linotype"/>
          <w:sz w:val="24"/>
          <w:szCs w:val="24"/>
        </w:rPr>
      </w:pPr>
    </w:p>
    <w:p w14:paraId="6EBBA180" w14:textId="1E03E896" w:rsidR="0080269F" w:rsidRPr="0080269F" w:rsidRDefault="007A1605"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sz w:val="24"/>
          <w:szCs w:val="24"/>
        </w:rPr>
        <w:fldChar w:fldCharType="begin" w:fldLock="1"/>
      </w:r>
      <w:r w:rsidRPr="0080269F">
        <w:rPr>
          <w:rFonts w:ascii="Palatino Linotype" w:hAnsi="Palatino Linotype"/>
          <w:sz w:val="24"/>
          <w:szCs w:val="24"/>
        </w:rPr>
        <w:instrText xml:space="preserve">ADDIN Mendeley Bibliography CSL_BIBLIOGRAPHY </w:instrText>
      </w:r>
      <w:r w:rsidRPr="0080269F">
        <w:rPr>
          <w:rFonts w:ascii="Palatino Linotype" w:hAnsi="Palatino Linotype"/>
          <w:sz w:val="24"/>
          <w:szCs w:val="24"/>
        </w:rPr>
        <w:fldChar w:fldCharType="separate"/>
      </w:r>
      <w:r w:rsidR="0080269F" w:rsidRPr="0080269F">
        <w:rPr>
          <w:rFonts w:ascii="Palatino Linotype" w:hAnsi="Palatino Linotype" w:cs="Angsana New"/>
          <w:noProof/>
          <w:sz w:val="24"/>
          <w:szCs w:val="24"/>
        </w:rPr>
        <w:t xml:space="preserve">Ahmed, K. </w:t>
      </w:r>
      <w:r w:rsidR="0080269F" w:rsidRPr="0080269F">
        <w:rPr>
          <w:rFonts w:ascii="Palatino Linotype" w:hAnsi="Palatino Linotype" w:cs="Angsana New"/>
          <w:i/>
          <w:iCs/>
          <w:noProof/>
          <w:sz w:val="24"/>
          <w:szCs w:val="24"/>
        </w:rPr>
        <w:t>et al.</w:t>
      </w:r>
      <w:r w:rsidR="0080269F" w:rsidRPr="0080269F">
        <w:rPr>
          <w:rFonts w:ascii="Palatino Linotype" w:hAnsi="Palatino Linotype" w:cs="Angsana New"/>
          <w:noProof/>
          <w:sz w:val="24"/>
          <w:szCs w:val="24"/>
        </w:rPr>
        <w:t xml:space="preserve"> (2012) ‘Nanoemulsion- and emulsion-based delivery systems for curcumin</w:t>
      </w:r>
      <w:r w:rsidR="0080269F" w:rsidRPr="0080269F">
        <w:rPr>
          <w:rFonts w:ascii="Times New Roman" w:hAnsi="Times New Roman" w:cs="Times New Roman"/>
          <w:noProof/>
          <w:sz w:val="24"/>
          <w:szCs w:val="24"/>
        </w:rPr>
        <w:t> </w:t>
      </w:r>
      <w:r w:rsidR="0080269F" w:rsidRPr="0080269F">
        <w:rPr>
          <w:rFonts w:ascii="Palatino Linotype" w:hAnsi="Palatino Linotype" w:cs="Angsana New"/>
          <w:noProof/>
          <w:sz w:val="24"/>
          <w:szCs w:val="24"/>
        </w:rPr>
        <w:t xml:space="preserve">: Encapsulation and release properties’, </w:t>
      </w:r>
      <w:r w:rsidR="0080269F" w:rsidRPr="0080269F">
        <w:rPr>
          <w:rFonts w:ascii="Palatino Linotype" w:hAnsi="Palatino Linotype" w:cs="Angsana New"/>
          <w:i/>
          <w:iCs/>
          <w:noProof/>
          <w:sz w:val="24"/>
          <w:szCs w:val="24"/>
        </w:rPr>
        <w:t>Food Chemistry</w:t>
      </w:r>
      <w:r w:rsidR="0080269F" w:rsidRPr="0080269F">
        <w:rPr>
          <w:rFonts w:ascii="Palatino Linotype" w:hAnsi="Palatino Linotype" w:cs="Angsana New"/>
          <w:noProof/>
          <w:sz w:val="24"/>
          <w:szCs w:val="24"/>
        </w:rPr>
        <w:t>, 132(2), pp. 799–807. doi: 10.1016/j.foodchem.2011.11.039.</w:t>
      </w:r>
    </w:p>
    <w:p w14:paraId="2F2F9A8C"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Amalraj, A.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(2017) ‘Biological activities of curcuminoids, other biomolecules from turmeric and their derivatives – A review’, </w:t>
      </w:r>
      <w:r w:rsidRPr="0080269F">
        <w:rPr>
          <w:rFonts w:ascii="Palatino Linotype" w:hAnsi="Palatino Linotype" w:cs="Angsana New"/>
          <w:i/>
          <w:iCs/>
          <w:noProof/>
          <w:sz w:val="24"/>
          <w:szCs w:val="24"/>
        </w:rPr>
        <w:t>Journal of Traditional and Complementary Medicine</w:t>
      </w:r>
      <w:r w:rsidRPr="0080269F">
        <w:rPr>
          <w:rFonts w:ascii="Palatino Linotype" w:hAnsi="Palatino Linotype" w:cs="Angsana New"/>
          <w:noProof/>
          <w:sz w:val="24"/>
          <w:szCs w:val="24"/>
        </w:rPr>
        <w:t>, 7(2), pp. 205–233. doi: 10.1016/j.jtcme.2016.05.005.</w:t>
      </w:r>
    </w:p>
    <w:p w14:paraId="5048A7D4"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Anitha, A.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(2011) ‘Preparation, characterization, in vitro drug release and biological studies of curcumin loaded dextran sulphate-chitosan nanoparticles’, </w:t>
      </w:r>
      <w:r w:rsidRPr="0080269F">
        <w:rPr>
          <w:rFonts w:ascii="Palatino Linotype" w:hAnsi="Palatino Linotype" w:cs="Angsana New"/>
          <w:i/>
          <w:iCs/>
          <w:noProof/>
          <w:sz w:val="24"/>
          <w:szCs w:val="24"/>
        </w:rPr>
        <w:t>Carbohydrate Polymers</w:t>
      </w:r>
      <w:r w:rsidRPr="0080269F">
        <w:rPr>
          <w:rFonts w:ascii="Palatino Linotype" w:hAnsi="Palatino Linotype" w:cs="Angsana New"/>
          <w:noProof/>
          <w:sz w:val="24"/>
          <w:szCs w:val="24"/>
        </w:rPr>
        <w:t>, 84(3), pp. 1158–1164. doi: 10.1016/j.carbpol.2011.01.005.</w:t>
      </w:r>
    </w:p>
    <w:p w14:paraId="0E5B47FC"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Araiza-Calahorra, A., Akhtar, M. and Sarkar, A. (2018) ‘Recent advances in emulsion-based delivery approaches for curcumin</w:t>
      </w:r>
      <w:r w:rsidRPr="0080269F">
        <w:rPr>
          <w:rFonts w:ascii="Times New Roman" w:hAnsi="Times New Roman" w:cs="Times New Roman"/>
          <w:noProof/>
          <w:sz w:val="24"/>
          <w:szCs w:val="24"/>
        </w:rPr>
        <w:t> </w:t>
      </w:r>
      <w:r w:rsidRPr="0080269F">
        <w:rPr>
          <w:rFonts w:ascii="Palatino Linotype" w:hAnsi="Palatino Linotype" w:cs="Angsana New"/>
          <w:noProof/>
          <w:sz w:val="24"/>
          <w:szCs w:val="24"/>
        </w:rPr>
        <w:t xml:space="preserve">: From encapsulation to bioaccessibility’, </w:t>
      </w:r>
      <w:r w:rsidRPr="0080269F">
        <w:rPr>
          <w:rFonts w:ascii="Palatino Linotype" w:hAnsi="Palatino Linotype" w:cs="Angsana New"/>
          <w:i/>
          <w:iCs/>
          <w:noProof/>
          <w:sz w:val="24"/>
          <w:szCs w:val="24"/>
        </w:rPr>
        <w:t>Trends in Food Science &amp; Technology</w:t>
      </w:r>
      <w:r w:rsidRPr="0080269F">
        <w:rPr>
          <w:rFonts w:ascii="Palatino Linotype" w:hAnsi="Palatino Linotype" w:cs="Angsana New"/>
          <w:noProof/>
          <w:sz w:val="24"/>
          <w:szCs w:val="24"/>
        </w:rPr>
        <w:t>, 71, pp. 155–169. doi: 10.1016/j.tifs.2017.11.009.</w:t>
      </w:r>
    </w:p>
    <w:p w14:paraId="5EE54B76"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Bourbon, A. I.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(2018) ‘In vitro digestion of lactoferrin-glycomacropeptide nanohydrogels incorporating bioactive compounds: Effect of a chitosan coating’,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84(February), pp. 267–275. doi: 10.1016/j.foodhyd.2018.06.015.</w:t>
      </w:r>
    </w:p>
    <w:p w14:paraId="1D8CE18F"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Carvalho, G. R.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(2019) ‘Influence of modified starches as wall materials on the properties of spray-dried lemongrass oil’, </w:t>
      </w:r>
      <w:r w:rsidRPr="0080269F">
        <w:rPr>
          <w:rFonts w:ascii="Palatino Linotype" w:hAnsi="Palatino Linotype" w:cs="Angsana New"/>
          <w:i/>
          <w:iCs/>
          <w:noProof/>
          <w:sz w:val="24"/>
          <w:szCs w:val="24"/>
        </w:rPr>
        <w:t>Journal of Food Science and Technology</w:t>
      </w:r>
      <w:r w:rsidRPr="0080269F">
        <w:rPr>
          <w:rFonts w:ascii="Palatino Linotype" w:hAnsi="Palatino Linotype" w:cs="Angsana New"/>
          <w:noProof/>
          <w:sz w:val="24"/>
          <w:szCs w:val="24"/>
        </w:rPr>
        <w:t>, 56(11), pp. 4972–4981. doi: 10.1007/s13197-019-03969-2.</w:t>
      </w:r>
    </w:p>
    <w:p w14:paraId="40B5EFCF"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Chanphai, P. (2017) ‘Probing the binding of resveratrol , genistein and curcumin with chitosan nanoparticles’, </w:t>
      </w:r>
      <w:r w:rsidRPr="0080269F">
        <w:rPr>
          <w:rFonts w:ascii="Palatino Linotype" w:hAnsi="Palatino Linotype" w:cs="Angsana New"/>
          <w:i/>
          <w:iCs/>
          <w:noProof/>
          <w:sz w:val="24"/>
          <w:szCs w:val="24"/>
        </w:rPr>
        <w:t>Journal of Molecular Liquids</w:t>
      </w:r>
      <w:r w:rsidRPr="0080269F">
        <w:rPr>
          <w:rFonts w:ascii="Palatino Linotype" w:hAnsi="Palatino Linotype" w:cs="Angsana New"/>
          <w:noProof/>
          <w:sz w:val="24"/>
          <w:szCs w:val="24"/>
        </w:rPr>
        <w:t>, 243, pp. 108–114. doi: 10.1016/j.molliq.2017.08.024.</w:t>
      </w:r>
    </w:p>
    <w:p w14:paraId="1EBDAF4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Cuomo, F.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(2018) ‘In-vitro digestion of curcumin loaded chitosan-coated liposomes’, </w:t>
      </w:r>
      <w:r w:rsidRPr="0080269F">
        <w:rPr>
          <w:rFonts w:ascii="Palatino Linotype" w:hAnsi="Palatino Linotype" w:cs="Angsana New"/>
          <w:i/>
          <w:iCs/>
          <w:noProof/>
          <w:sz w:val="24"/>
          <w:szCs w:val="24"/>
        </w:rPr>
        <w:t>Colloids and Surfaces B: Biointerfaces</w:t>
      </w:r>
      <w:r w:rsidRPr="0080269F">
        <w:rPr>
          <w:rFonts w:ascii="Palatino Linotype" w:hAnsi="Palatino Linotype" w:cs="Angsana New"/>
          <w:noProof/>
          <w:sz w:val="24"/>
          <w:szCs w:val="24"/>
        </w:rPr>
        <w:t>, 168, pp. 29–34. doi: 10.1016/j.colsurfb.2017.11.047.</w:t>
      </w:r>
    </w:p>
    <w:p w14:paraId="6DF9A016"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Dickinson, E. and Eric, D. (2009) ‘Hydrocolloids as emulsifiers and emulsion stabilizers’,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23(6), pp. 1473–1482. doi: 10.1016/j.foodhyd.2008.08.005.</w:t>
      </w:r>
    </w:p>
    <w:p w14:paraId="1C7F6AC6"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lastRenderedPageBreak/>
        <w:t xml:space="preserve">Fang, S.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(2019) ‘Fabricating multilayer emulsions by using OSA starch and chitosan suitable for spray drying: Application in the encapsulation of β-carotene’,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93, pp. 102–110. doi: 10.1016/j.foodhyd.2019.02.024.</w:t>
      </w:r>
    </w:p>
    <w:p w14:paraId="5F2FEE4B"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Goel, A., Kunnumakkara, A. B. and Aggarwal, B. B. (2008) ‘Curcumin as “Curecumin”: From kitchen to clinic’, </w:t>
      </w:r>
      <w:r w:rsidRPr="0080269F">
        <w:rPr>
          <w:rFonts w:ascii="Palatino Linotype" w:hAnsi="Palatino Linotype" w:cs="Angsana New"/>
          <w:i/>
          <w:iCs/>
          <w:noProof/>
          <w:sz w:val="24"/>
          <w:szCs w:val="24"/>
        </w:rPr>
        <w:t>Biochemical Pharmacology</w:t>
      </w:r>
      <w:r w:rsidRPr="0080269F">
        <w:rPr>
          <w:rFonts w:ascii="Palatino Linotype" w:hAnsi="Palatino Linotype" w:cs="Angsana New"/>
          <w:noProof/>
          <w:sz w:val="24"/>
          <w:szCs w:val="24"/>
        </w:rPr>
        <w:t>, 75(4), pp. 787–809. doi: 10.1016/j.bcp.2007.08.016.</w:t>
      </w:r>
    </w:p>
    <w:p w14:paraId="4CD58E3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Gómez-Mascaraque, L. G.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(2017) ‘Microencapsulation structures based on protein-coated liposomes obtained through electrospraying for the stabilization and improved bioaccessibility of curcumin’, </w:t>
      </w:r>
      <w:r w:rsidRPr="0080269F">
        <w:rPr>
          <w:rFonts w:ascii="Palatino Linotype" w:hAnsi="Palatino Linotype" w:cs="Angsana New"/>
          <w:i/>
          <w:iCs/>
          <w:noProof/>
          <w:sz w:val="24"/>
          <w:szCs w:val="24"/>
        </w:rPr>
        <w:t>Food Chemistry</w:t>
      </w:r>
      <w:r w:rsidRPr="0080269F">
        <w:rPr>
          <w:rFonts w:ascii="Palatino Linotype" w:hAnsi="Palatino Linotype" w:cs="Angsana New"/>
          <w:noProof/>
          <w:sz w:val="24"/>
          <w:szCs w:val="24"/>
        </w:rPr>
        <w:t>, 233, pp. 343–350. doi: 10.1016/j.foodchem.2017.04.133.</w:t>
      </w:r>
    </w:p>
    <w:p w14:paraId="37BD74BA"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Hamad, A.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(2020) ‘A novel approach to develop spray-dried encapsulated curcumin powder from oil-in-water emulsions stabilized by combined surfactants and chitosan’, </w:t>
      </w:r>
      <w:r w:rsidRPr="0080269F">
        <w:rPr>
          <w:rFonts w:ascii="Palatino Linotype" w:hAnsi="Palatino Linotype" w:cs="Angsana New"/>
          <w:i/>
          <w:iCs/>
          <w:noProof/>
          <w:sz w:val="24"/>
          <w:szCs w:val="24"/>
        </w:rPr>
        <w:t>Journal of Food Science</w:t>
      </w:r>
      <w:r w:rsidRPr="0080269F">
        <w:rPr>
          <w:rFonts w:ascii="Palatino Linotype" w:hAnsi="Palatino Linotype" w:cs="Angsana New"/>
          <w:noProof/>
          <w:sz w:val="24"/>
          <w:szCs w:val="24"/>
        </w:rPr>
        <w:t>, 85(11), pp. 3874–3884. doi: 10.1111/1750-3841.15488.</w:t>
      </w:r>
    </w:p>
    <w:p w14:paraId="7A33C581"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Hamad, A., Suriyarak, S. and Boromphichaichartkul, C. (2020) ‘Encapsulation of Curcumin by Spray Drying Using the Combination of Tween 80 and Chitosan’, </w:t>
      </w:r>
      <w:r w:rsidRPr="0080269F">
        <w:rPr>
          <w:rFonts w:ascii="Palatino Linotype" w:hAnsi="Palatino Linotype" w:cs="Angsana New"/>
          <w:i/>
          <w:iCs/>
          <w:noProof/>
          <w:sz w:val="24"/>
          <w:szCs w:val="24"/>
        </w:rPr>
        <w:t>Journal of Food Technology Siam University</w:t>
      </w:r>
      <w:r w:rsidRPr="0080269F">
        <w:rPr>
          <w:rFonts w:ascii="Palatino Linotype" w:hAnsi="Palatino Linotype" w:cs="Angsana New"/>
          <w:noProof/>
          <w:sz w:val="24"/>
          <w:szCs w:val="24"/>
        </w:rPr>
        <w:t>, 15(2), pp. 96–109.</w:t>
      </w:r>
    </w:p>
    <w:p w14:paraId="2F2CE013"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Hou, W. and Xu, J. (2016) ‘Current Opinion in Colloid &amp; Interface Science Surfactant-free microemulsions’, </w:t>
      </w:r>
      <w:r w:rsidRPr="0080269F">
        <w:rPr>
          <w:rFonts w:ascii="Palatino Linotype" w:hAnsi="Palatino Linotype" w:cs="Angsana New"/>
          <w:i/>
          <w:iCs/>
          <w:noProof/>
          <w:sz w:val="24"/>
          <w:szCs w:val="24"/>
        </w:rPr>
        <w:t>Current Opinion in Colloid &amp; Interface Science</w:t>
      </w:r>
      <w:r w:rsidRPr="0080269F">
        <w:rPr>
          <w:rFonts w:ascii="Palatino Linotype" w:hAnsi="Palatino Linotype" w:cs="Angsana New"/>
          <w:noProof/>
          <w:sz w:val="24"/>
          <w:szCs w:val="24"/>
        </w:rPr>
        <w:t>, 25, pp. 67–74. doi: 10.1016/j.cocis.2016.06.013.</w:t>
      </w:r>
    </w:p>
    <w:p w14:paraId="679CF644"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Jiang, T., Liao, W. and Charcosset, C. (2020) ‘Recent advances in encapsulation of curcumin in nanoemulsions: A review of encapsulation technologies, bioaccessibility and applications’, </w:t>
      </w:r>
      <w:r w:rsidRPr="0080269F">
        <w:rPr>
          <w:rFonts w:ascii="Palatino Linotype" w:hAnsi="Palatino Linotype" w:cs="Angsana New"/>
          <w:i/>
          <w:iCs/>
          <w:noProof/>
          <w:sz w:val="24"/>
          <w:szCs w:val="24"/>
        </w:rPr>
        <w:t>Food Research International</w:t>
      </w:r>
      <w:r w:rsidRPr="0080269F">
        <w:rPr>
          <w:rFonts w:ascii="Palatino Linotype" w:hAnsi="Palatino Linotype" w:cs="Angsana New"/>
          <w:noProof/>
          <w:sz w:val="24"/>
          <w:szCs w:val="24"/>
        </w:rPr>
        <w:t>, 132(October 2019), p. 109035. doi: 10.1016/j.foodres.2020.109035.</w:t>
      </w:r>
    </w:p>
    <w:p w14:paraId="0BA085D8"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Kharat, M. and McClements, D. J. (2019) ‘Recent advances in colloidal delivery systems for nutraceuticals: A case study – Delivery by Design of curcumin’, </w:t>
      </w:r>
      <w:r w:rsidRPr="0080269F">
        <w:rPr>
          <w:rFonts w:ascii="Palatino Linotype" w:hAnsi="Palatino Linotype" w:cs="Angsana New"/>
          <w:i/>
          <w:iCs/>
          <w:noProof/>
          <w:sz w:val="24"/>
          <w:szCs w:val="24"/>
        </w:rPr>
        <w:t>Journal of Colloid and Interface Science</w:t>
      </w:r>
      <w:r w:rsidRPr="0080269F">
        <w:rPr>
          <w:rFonts w:ascii="Palatino Linotype" w:hAnsi="Palatino Linotype" w:cs="Angsana New"/>
          <w:noProof/>
          <w:sz w:val="24"/>
          <w:szCs w:val="24"/>
        </w:rPr>
        <w:t>, 557, pp. 506–518. doi: 10.1016/j.jcis.2019.09.045.</w:t>
      </w:r>
    </w:p>
    <w:p w14:paraId="283B5B9A"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Kocaadam, B. and Şanlier, N. (2017) ‘Curcumin, an active component of turmeric (Curcuma longa), and its effects on health’, </w:t>
      </w:r>
      <w:r w:rsidRPr="0080269F">
        <w:rPr>
          <w:rFonts w:ascii="Palatino Linotype" w:hAnsi="Palatino Linotype" w:cs="Angsana New"/>
          <w:i/>
          <w:iCs/>
          <w:noProof/>
          <w:sz w:val="24"/>
          <w:szCs w:val="24"/>
        </w:rPr>
        <w:t>Critical Reviews in Food Science and Nutrition</w:t>
      </w:r>
      <w:r w:rsidRPr="0080269F">
        <w:rPr>
          <w:rFonts w:ascii="Palatino Linotype" w:hAnsi="Palatino Linotype" w:cs="Angsana New"/>
          <w:noProof/>
          <w:sz w:val="24"/>
          <w:szCs w:val="24"/>
        </w:rPr>
        <w:t>, 57(13), pp. 2889–2895. doi: 10.1080/10408398.2015.1077195.</w:t>
      </w:r>
    </w:p>
    <w:p w14:paraId="0835FC43"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Kumar, L. R. G.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(2017) ‘Evaluation of chitosan as a wall material for microencapsulation of squalene by spray drying: Characterization and oxidative stability studies’, </w:t>
      </w:r>
      <w:r w:rsidRPr="0080269F">
        <w:rPr>
          <w:rFonts w:ascii="Palatino Linotype" w:hAnsi="Palatino Linotype" w:cs="Angsana New"/>
          <w:i/>
          <w:iCs/>
          <w:noProof/>
          <w:sz w:val="24"/>
          <w:szCs w:val="24"/>
        </w:rPr>
        <w:t>International Journal of Biological Macromolecules</w:t>
      </w:r>
      <w:r w:rsidRPr="0080269F">
        <w:rPr>
          <w:rFonts w:ascii="Palatino Linotype" w:hAnsi="Palatino Linotype" w:cs="Angsana New"/>
          <w:noProof/>
          <w:sz w:val="24"/>
          <w:szCs w:val="24"/>
        </w:rPr>
        <w:t>, 104, pp. 1986–1995. doi: 10.1016/j.ijbiomac.2017.03.114.</w:t>
      </w:r>
    </w:p>
    <w:p w14:paraId="1A1B5D99"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Li, J.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(2016) ‘Effects of chitosan coating on curcumin loaded nano-emulsion: Study </w:t>
      </w:r>
      <w:r w:rsidRPr="0080269F">
        <w:rPr>
          <w:rFonts w:ascii="Palatino Linotype" w:hAnsi="Palatino Linotype" w:cs="Angsana New"/>
          <w:noProof/>
          <w:sz w:val="24"/>
          <w:szCs w:val="24"/>
        </w:rPr>
        <w:lastRenderedPageBreak/>
        <w:t xml:space="preserve">on stability and in vitro digestibility’,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60, pp. 138–147. doi: 10.1016/j.foodhyd.2016.03.016.</w:t>
      </w:r>
    </w:p>
    <w:p w14:paraId="26E2867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Ma, P.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(2017) ‘Preparation of curcumin-loaded emulsion using high pressure homogenization: Impact of oil phase and concentration on physicochemical stability’, </w:t>
      </w:r>
      <w:r w:rsidRPr="0080269F">
        <w:rPr>
          <w:rFonts w:ascii="Palatino Linotype" w:hAnsi="Palatino Linotype" w:cs="Angsana New"/>
          <w:i/>
          <w:iCs/>
          <w:noProof/>
          <w:sz w:val="24"/>
          <w:szCs w:val="24"/>
        </w:rPr>
        <w:t>LWT - Food Science and Technology</w:t>
      </w:r>
      <w:r w:rsidRPr="0080269F">
        <w:rPr>
          <w:rFonts w:ascii="Palatino Linotype" w:hAnsi="Palatino Linotype" w:cs="Angsana New"/>
          <w:noProof/>
          <w:sz w:val="24"/>
          <w:szCs w:val="24"/>
        </w:rPr>
        <w:t>, 84, pp. 34–46. doi: 10.1016/j.lwt.2017.04.074.</w:t>
      </w:r>
    </w:p>
    <w:p w14:paraId="5B4D021B"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Mathias, J. D., Tessier-Doyen, N. and Michaud, P. (2011) ‘Development of a chitosan-based biofoam: Application to the processing of a porous ceramic material’, </w:t>
      </w:r>
      <w:r w:rsidRPr="0080269F">
        <w:rPr>
          <w:rFonts w:ascii="Palatino Linotype" w:hAnsi="Palatino Linotype" w:cs="Angsana New"/>
          <w:i/>
          <w:iCs/>
          <w:noProof/>
          <w:sz w:val="24"/>
          <w:szCs w:val="24"/>
        </w:rPr>
        <w:t>International Journal of Molecular Sciences</w:t>
      </w:r>
      <w:r w:rsidRPr="0080269F">
        <w:rPr>
          <w:rFonts w:ascii="Palatino Linotype" w:hAnsi="Palatino Linotype" w:cs="Angsana New"/>
          <w:noProof/>
          <w:sz w:val="24"/>
          <w:szCs w:val="24"/>
        </w:rPr>
        <w:t>, 12(2), pp. 1175–1186. doi: 10.3390/ijms12021175.</w:t>
      </w:r>
    </w:p>
    <w:p w14:paraId="3456AA37"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Mcclements, D. J. (2012) ‘Current Opinion in Colloid &amp; Interface Science Advances in fabrication of emulsions with enhanced functionality using structural design principles’, </w:t>
      </w:r>
      <w:r w:rsidRPr="0080269F">
        <w:rPr>
          <w:rFonts w:ascii="Palatino Linotype" w:hAnsi="Palatino Linotype" w:cs="Angsana New"/>
          <w:i/>
          <w:iCs/>
          <w:noProof/>
          <w:sz w:val="24"/>
          <w:szCs w:val="24"/>
        </w:rPr>
        <w:t>Current Opinion in Colloid &amp; Interface Science</w:t>
      </w:r>
      <w:r w:rsidRPr="0080269F">
        <w:rPr>
          <w:rFonts w:ascii="Palatino Linotype" w:hAnsi="Palatino Linotype" w:cs="Angsana New"/>
          <w:noProof/>
          <w:sz w:val="24"/>
          <w:szCs w:val="24"/>
        </w:rPr>
        <w:t>, 17(5), pp. 235–245. doi: 10.1016/j.cocis.2012.06.002.</w:t>
      </w:r>
    </w:p>
    <w:p w14:paraId="7BCCC2BD"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McClements, D. J. and Jafari, S. M. (2018) ‘Improving emulsion formation, stability and performance using mixed emulsifiers: A review’, </w:t>
      </w:r>
      <w:r w:rsidRPr="0080269F">
        <w:rPr>
          <w:rFonts w:ascii="Palatino Linotype" w:hAnsi="Palatino Linotype" w:cs="Angsana New"/>
          <w:i/>
          <w:iCs/>
          <w:noProof/>
          <w:sz w:val="24"/>
          <w:szCs w:val="24"/>
        </w:rPr>
        <w:t>Advances in Colloid and Interface Science</w:t>
      </w:r>
      <w:r w:rsidRPr="0080269F">
        <w:rPr>
          <w:rFonts w:ascii="Palatino Linotype" w:hAnsi="Palatino Linotype" w:cs="Angsana New"/>
          <w:noProof/>
          <w:sz w:val="24"/>
          <w:szCs w:val="24"/>
        </w:rPr>
        <w:t>, 251, pp. 55–79. doi: 10.1016/j.cis.2017.12.001.</w:t>
      </w:r>
    </w:p>
    <w:p w14:paraId="7957C6CA"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McClements, D. J. and Li, Y. (2010) ‘Structured emulsion-based delivery systems: Controlling the digestion and release of lipophilic food components’, </w:t>
      </w:r>
      <w:r w:rsidRPr="0080269F">
        <w:rPr>
          <w:rFonts w:ascii="Palatino Linotype" w:hAnsi="Palatino Linotype" w:cs="Angsana New"/>
          <w:i/>
          <w:iCs/>
          <w:noProof/>
          <w:sz w:val="24"/>
          <w:szCs w:val="24"/>
        </w:rPr>
        <w:t>Advances in Colloid and Interface Science</w:t>
      </w:r>
      <w:r w:rsidRPr="0080269F">
        <w:rPr>
          <w:rFonts w:ascii="Palatino Linotype" w:hAnsi="Palatino Linotype" w:cs="Angsana New"/>
          <w:noProof/>
          <w:sz w:val="24"/>
          <w:szCs w:val="24"/>
        </w:rPr>
        <w:t>, 159(2), pp. 213–228. doi: 10.1016/j.cis.2010.06.010.</w:t>
      </w:r>
    </w:p>
    <w:p w14:paraId="3772369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Medina-Torres, L.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(2019) ‘Curcumin encapsulation by spray drying using Aloe vera mucilage as encapsulating agent’, </w:t>
      </w:r>
      <w:r w:rsidRPr="0080269F">
        <w:rPr>
          <w:rFonts w:ascii="Palatino Linotype" w:hAnsi="Palatino Linotype" w:cs="Angsana New"/>
          <w:i/>
          <w:iCs/>
          <w:noProof/>
          <w:sz w:val="24"/>
          <w:szCs w:val="24"/>
        </w:rPr>
        <w:t>Journal of Food Process Engineering</w:t>
      </w:r>
      <w:r w:rsidRPr="0080269F">
        <w:rPr>
          <w:rFonts w:ascii="Palatino Linotype" w:hAnsi="Palatino Linotype" w:cs="Angsana New"/>
          <w:noProof/>
          <w:sz w:val="24"/>
          <w:szCs w:val="24"/>
        </w:rPr>
        <w:t>, 42(2), pp. 1–12. doi: 10.1111/jfpe.12972.</w:t>
      </w:r>
    </w:p>
    <w:p w14:paraId="33A4CE11"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Mun, S., Decker, E. A. and Mcclements, D. J. (2006) ‘Effect of molecular weight and degree of deacetylation of chitosan on the formation of oil-in-water emulsions stabilized by surfactant-chitosan membranes’, </w:t>
      </w:r>
      <w:r w:rsidRPr="0080269F">
        <w:rPr>
          <w:rFonts w:ascii="Palatino Linotype" w:hAnsi="Palatino Linotype" w:cs="Angsana New"/>
          <w:i/>
          <w:iCs/>
          <w:noProof/>
          <w:sz w:val="24"/>
          <w:szCs w:val="24"/>
        </w:rPr>
        <w:t>Journal of Colloid and Interface Science</w:t>
      </w:r>
      <w:r w:rsidRPr="0080269F">
        <w:rPr>
          <w:rFonts w:ascii="Palatino Linotype" w:hAnsi="Palatino Linotype" w:cs="Angsana New"/>
          <w:noProof/>
          <w:sz w:val="24"/>
          <w:szCs w:val="24"/>
        </w:rPr>
        <w:t>, 296(2), pp. 581–590. doi: 10.1016/j.jcis.2005.09.023.</w:t>
      </w:r>
    </w:p>
    <w:p w14:paraId="5482372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Shin, G. H. and Kim, J. T. (2018) ‘Observation of chitosan coated lipid nanoparticles with different lipid compositions under simulated in vitro digestion system’,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84, pp. 146–153. doi: 10.1016/j.foodhyd.2018.05.052.</w:t>
      </w:r>
    </w:p>
    <w:p w14:paraId="228A5F89"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Silva, H. D.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(2018) ‘Evaluating the behaviour of curcumin nanoemulsions and multilayer nanoemulsions during dynamic in vitro digestion’, </w:t>
      </w:r>
      <w:r w:rsidRPr="0080269F">
        <w:rPr>
          <w:rFonts w:ascii="Palatino Linotype" w:hAnsi="Palatino Linotype" w:cs="Angsana New"/>
          <w:i/>
          <w:iCs/>
          <w:noProof/>
          <w:sz w:val="24"/>
          <w:szCs w:val="24"/>
        </w:rPr>
        <w:t>Journal of Functional Foods</w:t>
      </w:r>
      <w:r w:rsidRPr="0080269F">
        <w:rPr>
          <w:rFonts w:ascii="Palatino Linotype" w:hAnsi="Palatino Linotype" w:cs="Angsana New"/>
          <w:noProof/>
          <w:sz w:val="24"/>
          <w:szCs w:val="24"/>
        </w:rPr>
        <w:t>, 48, pp. 605–613. doi: 10.1016/j.jff.2018.08.002.</w:t>
      </w:r>
    </w:p>
    <w:p w14:paraId="317FBD1F"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Sowasod, N.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(2013) ‘Encapsulation of Curcumin Loaded Oil Droplets with Chitosan Based Cryogel: Influence of Freezing Condition on Nanocapsule Properties’, </w:t>
      </w:r>
      <w:r w:rsidRPr="0080269F">
        <w:rPr>
          <w:rFonts w:ascii="Palatino Linotype" w:hAnsi="Palatino Linotype" w:cs="Angsana New"/>
          <w:i/>
          <w:iCs/>
          <w:noProof/>
          <w:sz w:val="24"/>
          <w:szCs w:val="24"/>
        </w:rPr>
        <w:t xml:space="preserve">Food </w:t>
      </w:r>
      <w:r w:rsidRPr="0080269F">
        <w:rPr>
          <w:rFonts w:ascii="Palatino Linotype" w:hAnsi="Palatino Linotype" w:cs="Angsana New"/>
          <w:i/>
          <w:iCs/>
          <w:noProof/>
          <w:sz w:val="24"/>
          <w:szCs w:val="24"/>
        </w:rPr>
        <w:lastRenderedPageBreak/>
        <w:t>Science and Technology Research</w:t>
      </w:r>
      <w:r w:rsidRPr="0080269F">
        <w:rPr>
          <w:rFonts w:ascii="Palatino Linotype" w:hAnsi="Palatino Linotype" w:cs="Angsana New"/>
          <w:noProof/>
          <w:sz w:val="24"/>
          <w:szCs w:val="24"/>
        </w:rPr>
        <w:t>, 19(4), pp. 633–640. doi: 10.3136/fstr.19.633.</w:t>
      </w:r>
    </w:p>
    <w:p w14:paraId="0C872A80"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Tan, C.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(2016) ‘Polysaccharide-based nanoparticles by chitosan and gum arabic polyelectrolyte complexation as carriers for curcumin’,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57, pp. 236–245. doi: 10.1016/j.foodhyd.2016.01.021.</w:t>
      </w:r>
    </w:p>
    <w:p w14:paraId="38763AFB"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Tan, Y.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(2020) ‘Factors impacting lipid digestion and nutraceutical bioaccessibility assessed by standardized gastrointestinal model (INFOGEST): Emulsifier type’, </w:t>
      </w:r>
      <w:r w:rsidRPr="0080269F">
        <w:rPr>
          <w:rFonts w:ascii="Palatino Linotype" w:hAnsi="Palatino Linotype" w:cs="Angsana New"/>
          <w:i/>
          <w:iCs/>
          <w:noProof/>
          <w:sz w:val="24"/>
          <w:szCs w:val="24"/>
        </w:rPr>
        <w:t>Food Research International</w:t>
      </w:r>
      <w:r w:rsidRPr="0080269F">
        <w:rPr>
          <w:rFonts w:ascii="Palatino Linotype" w:hAnsi="Palatino Linotype" w:cs="Angsana New"/>
          <w:noProof/>
          <w:sz w:val="24"/>
          <w:szCs w:val="24"/>
        </w:rPr>
        <w:t>, 137(September), p. 109739. doi: 10.1016/j.foodres.2020.109739.</w:t>
      </w:r>
    </w:p>
    <w:p w14:paraId="2AC177CA"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Vecchione, R.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(2016) ‘Curcumin bioavailability from oil in water nano-emulsions: In vitro and in vivo study on the dimensional, compositional and interactional dependence’, </w:t>
      </w:r>
      <w:r w:rsidRPr="0080269F">
        <w:rPr>
          <w:rFonts w:ascii="Palatino Linotype" w:hAnsi="Palatino Linotype" w:cs="Angsana New"/>
          <w:i/>
          <w:iCs/>
          <w:noProof/>
          <w:sz w:val="24"/>
          <w:szCs w:val="24"/>
        </w:rPr>
        <w:t>Journal of Controlled Release</w:t>
      </w:r>
      <w:r w:rsidRPr="0080269F">
        <w:rPr>
          <w:rFonts w:ascii="Palatino Linotype" w:hAnsi="Palatino Linotype" w:cs="Angsana New"/>
          <w:noProof/>
          <w:sz w:val="24"/>
          <w:szCs w:val="24"/>
        </w:rPr>
        <w:t>, 233, pp. 88–100. doi: 10.1016/j.jconrel.2016.05.004.</w:t>
      </w:r>
    </w:p>
    <w:p w14:paraId="5B1D5A98"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Woranuch, S., Yoksan, R. and Akashi, M. (2015) ‘Ferulic acid-coupled chitosan</w:t>
      </w:r>
      <w:r w:rsidRPr="0080269F">
        <w:rPr>
          <w:rFonts w:ascii="Times New Roman" w:hAnsi="Times New Roman" w:cs="Times New Roman"/>
          <w:noProof/>
          <w:sz w:val="24"/>
          <w:szCs w:val="24"/>
        </w:rPr>
        <w:t> </w:t>
      </w:r>
      <w:r w:rsidRPr="0080269F">
        <w:rPr>
          <w:rFonts w:ascii="Palatino Linotype" w:hAnsi="Palatino Linotype" w:cs="Angsana New"/>
          <w:noProof/>
          <w:sz w:val="24"/>
          <w:szCs w:val="24"/>
        </w:rPr>
        <w:t xml:space="preserve">: Thermal stability and utilization as an antioxidant for biodegradable active packaging film’, </w:t>
      </w:r>
      <w:r w:rsidRPr="0080269F">
        <w:rPr>
          <w:rFonts w:ascii="Palatino Linotype" w:hAnsi="Palatino Linotype" w:cs="Angsana New"/>
          <w:i/>
          <w:iCs/>
          <w:noProof/>
          <w:sz w:val="24"/>
          <w:szCs w:val="24"/>
        </w:rPr>
        <w:t>Carbohydrate Polymers</w:t>
      </w:r>
      <w:r w:rsidRPr="0080269F">
        <w:rPr>
          <w:rFonts w:ascii="Palatino Linotype" w:hAnsi="Palatino Linotype" w:cs="Angsana New"/>
          <w:noProof/>
          <w:sz w:val="24"/>
          <w:szCs w:val="24"/>
        </w:rPr>
        <w:t>, 115, pp. 744–751. doi: 10.1016/j.carbpol.2014.06.074.</w:t>
      </w:r>
    </w:p>
    <w:p w14:paraId="10296DBC"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Wu, M. H.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(2017) ‘Effects of emulsifier type and environmental stress on the stability of curcumin emulsion’, </w:t>
      </w:r>
      <w:r w:rsidRPr="0080269F">
        <w:rPr>
          <w:rFonts w:ascii="Palatino Linotype" w:hAnsi="Palatino Linotype" w:cs="Angsana New"/>
          <w:i/>
          <w:iCs/>
          <w:noProof/>
          <w:sz w:val="24"/>
          <w:szCs w:val="24"/>
        </w:rPr>
        <w:t>Journal of Dispersion Science and Technology</w:t>
      </w:r>
      <w:r w:rsidRPr="0080269F">
        <w:rPr>
          <w:rFonts w:ascii="Palatino Linotype" w:hAnsi="Palatino Linotype" w:cs="Angsana New"/>
          <w:noProof/>
          <w:sz w:val="24"/>
          <w:szCs w:val="24"/>
        </w:rPr>
        <w:t>, 38(10), pp. 1375–1380. doi: 10.1080/01932691.2016.1227713.</w:t>
      </w:r>
    </w:p>
    <w:p w14:paraId="20638A15"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Xu, X.-Y.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(2018) ‘Bioactivity, Health Benefits, and Related Molecular Mechanisms of Curcumin: Current Progress, Challenges, and Perspectives.’, </w:t>
      </w:r>
      <w:r w:rsidRPr="0080269F">
        <w:rPr>
          <w:rFonts w:ascii="Palatino Linotype" w:hAnsi="Palatino Linotype" w:cs="Angsana New"/>
          <w:i/>
          <w:iCs/>
          <w:noProof/>
          <w:sz w:val="24"/>
          <w:szCs w:val="24"/>
        </w:rPr>
        <w:t>Nutrients</w:t>
      </w:r>
      <w:r w:rsidRPr="0080269F">
        <w:rPr>
          <w:rFonts w:ascii="Palatino Linotype" w:hAnsi="Palatino Linotype" w:cs="Angsana New"/>
          <w:noProof/>
          <w:sz w:val="24"/>
          <w:szCs w:val="24"/>
        </w:rPr>
        <w:t>, 10, pp. 1553–1586. doi: 10.3390/nu10101553.</w:t>
      </w:r>
    </w:p>
    <w:p w14:paraId="25B517BB"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cs="Angsana New"/>
          <w:noProof/>
          <w:sz w:val="24"/>
          <w:szCs w:val="24"/>
        </w:rPr>
      </w:pPr>
      <w:r w:rsidRPr="0080269F">
        <w:rPr>
          <w:rFonts w:ascii="Palatino Linotype" w:hAnsi="Palatino Linotype" w:cs="Angsana New"/>
          <w:noProof/>
          <w:sz w:val="24"/>
          <w:szCs w:val="24"/>
        </w:rPr>
        <w:t xml:space="preserve">Zheng, B.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(2018) ‘Impact of Delivery System Type on Curcumin Bioaccessibility: Comparison of Curcumin-Loaded Nanoemulsions with Commercial Curcumin Supplements’, </w:t>
      </w:r>
      <w:r w:rsidRPr="0080269F">
        <w:rPr>
          <w:rFonts w:ascii="Palatino Linotype" w:hAnsi="Palatino Linotype" w:cs="Angsana New"/>
          <w:i/>
          <w:iCs/>
          <w:noProof/>
          <w:sz w:val="24"/>
          <w:szCs w:val="24"/>
        </w:rPr>
        <w:t>Journal of Agricultural and Food Chemistry</w:t>
      </w:r>
      <w:r w:rsidRPr="0080269F">
        <w:rPr>
          <w:rFonts w:ascii="Palatino Linotype" w:hAnsi="Palatino Linotype" w:cs="Angsana New"/>
          <w:noProof/>
          <w:sz w:val="24"/>
          <w:szCs w:val="24"/>
        </w:rPr>
        <w:t>, 66(41), pp. 10816–10826. doi: 10.1021/acs.jafc.8b03174.</w:t>
      </w:r>
    </w:p>
    <w:p w14:paraId="2F5C1B14" w14:textId="77777777" w:rsidR="0080269F" w:rsidRPr="0080269F" w:rsidRDefault="0080269F" w:rsidP="0080269F">
      <w:pPr>
        <w:widowControl w:val="0"/>
        <w:autoSpaceDE w:val="0"/>
        <w:autoSpaceDN w:val="0"/>
        <w:adjustRightInd w:val="0"/>
        <w:spacing w:after="120" w:line="240" w:lineRule="auto"/>
        <w:ind w:left="806" w:hanging="806"/>
        <w:jc w:val="both"/>
        <w:rPr>
          <w:rFonts w:ascii="Palatino Linotype" w:hAnsi="Palatino Linotype"/>
          <w:noProof/>
          <w:sz w:val="24"/>
        </w:rPr>
      </w:pPr>
      <w:r w:rsidRPr="0080269F">
        <w:rPr>
          <w:rFonts w:ascii="Palatino Linotype" w:hAnsi="Palatino Linotype" w:cs="Angsana New"/>
          <w:noProof/>
          <w:sz w:val="24"/>
          <w:szCs w:val="24"/>
        </w:rPr>
        <w:t xml:space="preserve">Zhong, Y. </w:t>
      </w:r>
      <w:r w:rsidRPr="0080269F">
        <w:rPr>
          <w:rFonts w:ascii="Palatino Linotype" w:hAnsi="Palatino Linotype" w:cs="Angsana New"/>
          <w:i/>
          <w:iCs/>
          <w:noProof/>
          <w:sz w:val="24"/>
          <w:szCs w:val="24"/>
        </w:rPr>
        <w:t>et al.</w:t>
      </w:r>
      <w:r w:rsidRPr="0080269F">
        <w:rPr>
          <w:rFonts w:ascii="Palatino Linotype" w:hAnsi="Palatino Linotype" w:cs="Angsana New"/>
          <w:noProof/>
          <w:sz w:val="24"/>
          <w:szCs w:val="24"/>
        </w:rPr>
        <w:t xml:space="preserve"> (2020) ‘Fabrication and characterization of oil-in-water emulsions stabilized by macadamia protein isolate/chitosan hydrochloride composite polymers’, </w:t>
      </w:r>
      <w:r w:rsidRPr="0080269F">
        <w:rPr>
          <w:rFonts w:ascii="Palatino Linotype" w:hAnsi="Palatino Linotype" w:cs="Angsana New"/>
          <w:i/>
          <w:iCs/>
          <w:noProof/>
          <w:sz w:val="24"/>
          <w:szCs w:val="24"/>
        </w:rPr>
        <w:t>Food Hydrocolloids</w:t>
      </w:r>
      <w:r w:rsidRPr="0080269F">
        <w:rPr>
          <w:rFonts w:ascii="Palatino Linotype" w:hAnsi="Palatino Linotype" w:cs="Angsana New"/>
          <w:noProof/>
          <w:sz w:val="24"/>
          <w:szCs w:val="24"/>
        </w:rPr>
        <w:t>, 103(August 2019), p. 105655. doi: 10.1016/j.foodhyd.2020.105655.</w:t>
      </w:r>
    </w:p>
    <w:p w14:paraId="514AD9C5" w14:textId="4DBB3CFC" w:rsidR="007A1605" w:rsidRPr="0080269F" w:rsidRDefault="007A1605" w:rsidP="0080269F">
      <w:pPr>
        <w:spacing w:after="120" w:line="240" w:lineRule="auto"/>
        <w:ind w:left="806" w:hanging="806"/>
        <w:jc w:val="both"/>
        <w:rPr>
          <w:rFonts w:ascii="Palatino Linotype" w:hAnsi="Palatino Linotype"/>
          <w:sz w:val="24"/>
          <w:szCs w:val="24"/>
        </w:rPr>
      </w:pPr>
      <w:r w:rsidRPr="0080269F">
        <w:rPr>
          <w:rFonts w:ascii="Palatino Linotype" w:hAnsi="Palatino Linotype"/>
          <w:sz w:val="24"/>
          <w:szCs w:val="24"/>
        </w:rPr>
        <w:fldChar w:fldCharType="end"/>
      </w:r>
    </w:p>
    <w:sectPr w:rsidR="007A1605" w:rsidRPr="0080269F" w:rsidSect="00824660">
      <w:headerReference w:type="default" r:id="rId14"/>
      <w:headerReference w:type="first" r:id="rId15"/>
      <w:pgSz w:w="12240" w:h="15840"/>
      <w:pgMar w:top="1440" w:right="1440" w:bottom="1440" w:left="1440" w:header="14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8AA9" w14:textId="77777777" w:rsidR="00B06698" w:rsidRDefault="00B06698" w:rsidP="00824660">
      <w:pPr>
        <w:spacing w:after="0" w:line="240" w:lineRule="auto"/>
      </w:pPr>
      <w:r>
        <w:separator/>
      </w:r>
    </w:p>
  </w:endnote>
  <w:endnote w:type="continuationSeparator" w:id="0">
    <w:p w14:paraId="48CBB633" w14:textId="77777777" w:rsidR="00B06698" w:rsidRDefault="00B06698" w:rsidP="0082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6B7F" w14:textId="77777777" w:rsidR="00B06698" w:rsidRDefault="00B06698" w:rsidP="00824660">
      <w:pPr>
        <w:spacing w:after="0" w:line="240" w:lineRule="auto"/>
      </w:pPr>
      <w:r>
        <w:separator/>
      </w:r>
    </w:p>
  </w:footnote>
  <w:footnote w:type="continuationSeparator" w:id="0">
    <w:p w14:paraId="52ECDDD9" w14:textId="77777777" w:rsidR="00B06698" w:rsidRDefault="00B06698" w:rsidP="0082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5881" w14:textId="34D44F21" w:rsidR="00824660" w:rsidRDefault="00824660" w:rsidP="00824660">
    <w:pPr>
      <w:pStyle w:val="Header"/>
      <w:ind w:left="-567" w:firstLine="56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F3DB" w14:textId="77777777" w:rsidR="00824660" w:rsidRPr="00824660" w:rsidRDefault="00824660" w:rsidP="00824660">
    <w:pPr>
      <w:pStyle w:val="Header"/>
      <w:ind w:left="-567" w:firstLine="567"/>
      <w:jc w:val="center"/>
      <w:rPr>
        <w:rFonts w:ascii="Palatino Linotype" w:hAnsi="Palatino Linotype" w:cs="Arial"/>
        <w:b/>
        <w:sz w:val="24"/>
        <w:szCs w:val="24"/>
        <w:lang w:val="en-ID"/>
      </w:rPr>
    </w:pPr>
    <w:r w:rsidRPr="00824660">
      <w:rPr>
        <w:rFonts w:ascii="Palatino Linotype" w:hAnsi="Palatino Linotype" w:cs="Arial"/>
        <w:b/>
        <w:sz w:val="24"/>
        <w:szCs w:val="24"/>
        <w:lang w:val="en-ID"/>
      </w:rPr>
      <w:t>Journal of Chemical Process and Material Technology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shd w:val="clear" w:color="auto" w:fill="FFC000"/>
      <w:tblLook w:val="04A0" w:firstRow="1" w:lastRow="0" w:firstColumn="1" w:lastColumn="0" w:noHBand="0" w:noVBand="1"/>
    </w:tblPr>
    <w:tblGrid>
      <w:gridCol w:w="4372"/>
      <w:gridCol w:w="4988"/>
    </w:tblGrid>
    <w:tr w:rsidR="00824660" w:rsidRPr="00824660" w14:paraId="4C3915A7" w14:textId="77777777" w:rsidTr="00F87955">
      <w:tc>
        <w:tcPr>
          <w:tcW w:w="4428" w:type="dxa"/>
          <w:shd w:val="clear" w:color="auto" w:fill="AEAAAA" w:themeFill="background2" w:themeFillShade="BF"/>
          <w:vAlign w:val="center"/>
        </w:tcPr>
        <w:p w14:paraId="21EDFCE4" w14:textId="77777777" w:rsidR="00824660" w:rsidRPr="00824660" w:rsidRDefault="00824660" w:rsidP="00824660">
          <w:pPr>
            <w:pStyle w:val="Header"/>
            <w:spacing w:before="100" w:after="100"/>
            <w:rPr>
              <w:rFonts w:ascii="Palatino Linotype" w:hAnsi="Palatino Linotype"/>
              <w:b/>
              <w:color w:val="FFFFFF" w:themeColor="background1"/>
              <w:sz w:val="20"/>
              <w:szCs w:val="20"/>
              <w:u w:val="single"/>
              <w:lang w:val="id-ID"/>
            </w:rPr>
          </w:pPr>
          <w:hyperlink r:id="rId1" w:history="1">
            <w:r w:rsidRPr="00824660">
              <w:rPr>
                <w:rStyle w:val="Hyperlink"/>
                <w:rFonts w:ascii="Palatino Linotype" w:hAnsi="Palatino Linotype"/>
                <w:color w:val="44546A" w:themeColor="text2"/>
                <w:sz w:val="20"/>
                <w:szCs w:val="20"/>
              </w:rPr>
              <w:t>http://publikasiilmiah</w:t>
            </w:r>
          </w:hyperlink>
          <w:r w:rsidRPr="00824660">
            <w:rPr>
              <w:rFonts w:ascii="Palatino Linotype" w:hAnsi="Palatino Linotype"/>
              <w:color w:val="44546A" w:themeColor="text2"/>
              <w:sz w:val="20"/>
              <w:szCs w:val="20"/>
              <w:u w:val="single"/>
            </w:rPr>
            <w:t>unwahas</w:t>
          </w:r>
        </w:p>
      </w:tc>
      <w:tc>
        <w:tcPr>
          <w:tcW w:w="5130" w:type="dxa"/>
          <w:shd w:val="clear" w:color="auto" w:fill="AEAAAA" w:themeFill="background2" w:themeFillShade="BF"/>
          <w:vAlign w:val="center"/>
        </w:tcPr>
        <w:p w14:paraId="420B729F" w14:textId="77777777" w:rsidR="00824660" w:rsidRPr="00824660" w:rsidRDefault="00824660" w:rsidP="00824660">
          <w:pPr>
            <w:pStyle w:val="Header"/>
            <w:ind w:left="286"/>
            <w:jc w:val="right"/>
            <w:rPr>
              <w:rFonts w:ascii="Palatino Linotype" w:hAnsi="Palatino Linotype"/>
              <w:color w:val="FFFFFF" w:themeColor="background1"/>
              <w:sz w:val="20"/>
              <w:szCs w:val="20"/>
            </w:rPr>
          </w:pPr>
          <w:r w:rsidRPr="00824660">
            <w:rPr>
              <w:rFonts w:ascii="Palatino Linotype" w:hAnsi="Palatino Linotype"/>
              <w:sz w:val="20"/>
              <w:szCs w:val="20"/>
            </w:rPr>
            <w:t>J. Chem. Proc. Mat. Tech, vol(issue), page, year</w:t>
          </w:r>
        </w:p>
      </w:tc>
    </w:tr>
  </w:tbl>
  <w:p w14:paraId="135C6AE6" w14:textId="77777777" w:rsidR="00824660" w:rsidRDefault="00824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E57DD"/>
    <w:multiLevelType w:val="hybridMultilevel"/>
    <w:tmpl w:val="4164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7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2NTMyATJMzQ0sTZR0lIJTi4sz8/NACoxrAbMwonosAAAA"/>
  </w:docVars>
  <w:rsids>
    <w:rsidRoot w:val="00455CC8"/>
    <w:rsid w:val="00052A5C"/>
    <w:rsid w:val="000851EC"/>
    <w:rsid w:val="0010138E"/>
    <w:rsid w:val="0023343B"/>
    <w:rsid w:val="002924B2"/>
    <w:rsid w:val="002B27CA"/>
    <w:rsid w:val="002C2EC2"/>
    <w:rsid w:val="00314815"/>
    <w:rsid w:val="00455CC8"/>
    <w:rsid w:val="006B0E08"/>
    <w:rsid w:val="00764BF4"/>
    <w:rsid w:val="007A1605"/>
    <w:rsid w:val="0080269F"/>
    <w:rsid w:val="00824660"/>
    <w:rsid w:val="00832B4F"/>
    <w:rsid w:val="00860762"/>
    <w:rsid w:val="00B06698"/>
    <w:rsid w:val="00B1356F"/>
    <w:rsid w:val="00C24447"/>
    <w:rsid w:val="00C34C1E"/>
    <w:rsid w:val="00C46FA5"/>
    <w:rsid w:val="00CB69B5"/>
    <w:rsid w:val="00E93DCA"/>
    <w:rsid w:val="00F21C4F"/>
    <w:rsid w:val="00F700A8"/>
    <w:rsid w:val="00F9743A"/>
    <w:rsid w:val="00FD63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80742"/>
  <w15:chartTrackingRefBased/>
  <w15:docId w15:val="{0330C81C-E4BB-4211-BE13-E5718A6F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2EC2"/>
    <w:pPr>
      <w:keepNext/>
      <w:keepLines/>
      <w:spacing w:before="240" w:after="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2C2EC2"/>
    <w:pPr>
      <w:keepNext/>
      <w:keepLines/>
      <w:spacing w:before="40" w:after="0"/>
      <w:outlineLvl w:val="1"/>
    </w:pPr>
    <w:rPr>
      <w:rFonts w:ascii="Times New Roman" w:eastAsiaTheme="majorEastAsia" w:hAnsi="Times New Roman" w:cstheme="majorBidi"/>
      <w:sz w:val="24"/>
      <w:szCs w:val="33"/>
    </w:rPr>
  </w:style>
  <w:style w:type="paragraph" w:styleId="Heading3">
    <w:name w:val="heading 3"/>
    <w:basedOn w:val="Normal"/>
    <w:next w:val="Normal"/>
    <w:link w:val="Heading3Char"/>
    <w:uiPriority w:val="9"/>
    <w:unhideWhenUsed/>
    <w:rsid w:val="00F21C4F"/>
    <w:pPr>
      <w:keepNext/>
      <w:keepLines/>
      <w:spacing w:before="160" w:after="120"/>
      <w:outlineLvl w:val="2"/>
    </w:pPr>
    <w:rPr>
      <w:rFonts w:eastAsiaTheme="majorEastAsia" w:cstheme="majorBidi"/>
      <w:b/>
      <w:sz w:val="28"/>
      <w:szCs w:val="30"/>
    </w:rPr>
  </w:style>
  <w:style w:type="paragraph" w:styleId="Heading4">
    <w:name w:val="heading 4"/>
    <w:basedOn w:val="Normal"/>
    <w:next w:val="Normal"/>
    <w:link w:val="Heading4Char"/>
    <w:uiPriority w:val="9"/>
    <w:unhideWhenUsed/>
    <w:rsid w:val="00860762"/>
    <w:pPr>
      <w:keepNext/>
      <w:keepLines/>
      <w:spacing w:before="160" w:after="120"/>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uiPriority w:val="9"/>
    <w:unhideWhenUsed/>
    <w:qFormat/>
    <w:rsid w:val="00860762"/>
    <w:pPr>
      <w:keepNext/>
      <w:keepLines/>
      <w:spacing w:before="40" w:after="0"/>
      <w:outlineLvl w:val="4"/>
    </w:pPr>
    <w:rPr>
      <w:rFonts w:ascii="Times New Roman" w:eastAsiaTheme="majorEastAsia" w:hAnsi="Times New Roman"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EC2"/>
    <w:rPr>
      <w:rFonts w:ascii="Times New Roman" w:eastAsiaTheme="majorEastAsia" w:hAnsi="Times New Roman" w:cstheme="majorBidi"/>
      <w:sz w:val="24"/>
      <w:szCs w:val="33"/>
    </w:rPr>
  </w:style>
  <w:style w:type="character" w:customStyle="1" w:styleId="Heading3Char">
    <w:name w:val="Heading 3 Char"/>
    <w:basedOn w:val="DefaultParagraphFont"/>
    <w:link w:val="Heading3"/>
    <w:uiPriority w:val="9"/>
    <w:rsid w:val="00F21C4F"/>
    <w:rPr>
      <w:rFonts w:eastAsiaTheme="majorEastAsia" w:cstheme="majorBidi"/>
      <w:b/>
      <w:sz w:val="28"/>
      <w:szCs w:val="30"/>
    </w:rPr>
  </w:style>
  <w:style w:type="character" w:customStyle="1" w:styleId="Heading4Char">
    <w:name w:val="Heading 4 Char"/>
    <w:basedOn w:val="DefaultParagraphFont"/>
    <w:link w:val="Heading4"/>
    <w:uiPriority w:val="9"/>
    <w:rsid w:val="00860762"/>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860762"/>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2C2EC2"/>
    <w:rPr>
      <w:rFonts w:ascii="Times New Roman" w:eastAsiaTheme="majorEastAsia" w:hAnsi="Times New Roman" w:cstheme="majorBidi"/>
      <w:b/>
      <w:sz w:val="24"/>
      <w:szCs w:val="40"/>
    </w:rPr>
  </w:style>
  <w:style w:type="paragraph" w:styleId="ListParagraph">
    <w:name w:val="List Paragraph"/>
    <w:basedOn w:val="Normal"/>
    <w:uiPriority w:val="34"/>
    <w:qFormat/>
    <w:rsid w:val="002924B2"/>
    <w:pPr>
      <w:ind w:left="720"/>
      <w:contextualSpacing/>
    </w:pPr>
  </w:style>
  <w:style w:type="character" w:styleId="Hyperlink">
    <w:name w:val="Hyperlink"/>
    <w:basedOn w:val="DefaultParagraphFont"/>
    <w:uiPriority w:val="99"/>
    <w:unhideWhenUsed/>
    <w:rsid w:val="00CB69B5"/>
    <w:rPr>
      <w:color w:val="0563C1" w:themeColor="hyperlink"/>
      <w:u w:val="single"/>
    </w:rPr>
  </w:style>
  <w:style w:type="character" w:styleId="UnresolvedMention">
    <w:name w:val="Unresolved Mention"/>
    <w:basedOn w:val="DefaultParagraphFont"/>
    <w:uiPriority w:val="99"/>
    <w:semiHidden/>
    <w:unhideWhenUsed/>
    <w:rsid w:val="00CB69B5"/>
    <w:rPr>
      <w:color w:val="605E5C"/>
      <w:shd w:val="clear" w:color="auto" w:fill="E1DFDD"/>
    </w:rPr>
  </w:style>
  <w:style w:type="paragraph" w:styleId="Header">
    <w:name w:val="header"/>
    <w:basedOn w:val="Normal"/>
    <w:link w:val="HeaderChar"/>
    <w:uiPriority w:val="99"/>
    <w:unhideWhenUsed/>
    <w:rsid w:val="0082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60"/>
  </w:style>
  <w:style w:type="paragraph" w:styleId="Footer">
    <w:name w:val="footer"/>
    <w:basedOn w:val="Normal"/>
    <w:link w:val="FooterChar"/>
    <w:uiPriority w:val="99"/>
    <w:unhideWhenUsed/>
    <w:rsid w:val="0082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60"/>
  </w:style>
  <w:style w:type="table" w:styleId="TableGrid">
    <w:name w:val="Table Grid"/>
    <w:basedOn w:val="TableNormal"/>
    <w:uiPriority w:val="59"/>
    <w:rsid w:val="00824660"/>
    <w:pPr>
      <w:spacing w:after="0" w:line="240" w:lineRule="auto"/>
      <w:jc w:val="both"/>
    </w:pPr>
    <w:rPr>
      <w:rFonts w:ascii="Times New Roman" w:eastAsia="Times New Roman" w:hAnsi="Times New Roman" w:cs="Times New Roman"/>
      <w:sz w:val="24"/>
      <w:szCs w:val="24"/>
      <w:lang w:val="en-GB"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wanihamad@ump.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publikasiilm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4258-A947-4F9F-8C69-47E086D9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26657</Words>
  <Characters>151947</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MateBook D15</dc:creator>
  <cp:keywords/>
  <dc:description/>
  <cp:lastModifiedBy>MateBook D15</cp:lastModifiedBy>
  <cp:revision>2</cp:revision>
  <dcterms:created xsi:type="dcterms:W3CDTF">2023-03-07T14:01:00Z</dcterms:created>
  <dcterms:modified xsi:type="dcterms:W3CDTF">2023-03-07T14:01:00Z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2eafd632-10b9-310d-9f80-239845feecc5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http://www.zotero.org/styles/food-chemistry</vt:lpwstr>
  </property>
  <property fmtid="{D5CDD505-2E9C-101B-9397-08002B2CF9AE}" pid="16" name="Mendeley Recent Style Name 5_1">
    <vt:lpwstr>Food Chemistry</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http://csl.mendeley.com/styles/334987221/cell-numeric-4</vt:lpwstr>
  </property>
  <property fmtid="{D5CDD505-2E9C-101B-9397-08002B2CF9AE}" pid="22" name="Mendeley Recent Style Name 8_1">
    <vt:lpwstr>Indones. J. Chem. - 2018 - Aulia Sukma Hutama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