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EC0FB" w14:textId="77777777" w:rsidR="00923EFD" w:rsidRDefault="00D47A4F">
      <w:pPr>
        <w:pStyle w:val="Heading3"/>
        <w:shd w:val="clear" w:color="auto" w:fill="FFFFFF"/>
        <w:spacing w:before="0"/>
        <w:ind w:right="240"/>
        <w:jc w:val="right"/>
        <w:rPr>
          <w:rFonts w:ascii="Tahoma" w:eastAsia="Tahoma" w:hAnsi="Tahoma" w:cs="Tahoma"/>
          <w:color w:val="333333"/>
          <w:sz w:val="14"/>
          <w:szCs w:val="14"/>
        </w:rPr>
      </w:pPr>
      <w:r>
        <w:rPr>
          <w:rFonts w:ascii="Tahoma" w:eastAsia="Tahoma" w:hAnsi="Tahoma" w:cs="Tahoma"/>
          <w:color w:val="333333"/>
          <w:sz w:val="14"/>
          <w:szCs w:val="14"/>
        </w:rPr>
        <w:t>International Journal of Management, Business, and Social Sciences</w:t>
      </w:r>
      <w:r>
        <w:rPr>
          <w:rFonts w:ascii="Tahoma" w:eastAsia="Tahoma" w:hAnsi="Tahoma" w:cs="Tahoma"/>
          <w:i/>
          <w:sz w:val="14"/>
          <w:szCs w:val="14"/>
        </w:rPr>
        <w:t xml:space="preserve"> </w:t>
      </w:r>
      <w:r>
        <w:rPr>
          <w:noProof/>
          <w:lang w:val="en-US" w:eastAsia="en-US"/>
        </w:rPr>
        <w:drawing>
          <wp:anchor distT="0" distB="0" distL="114300" distR="114300" simplePos="0" relativeHeight="251658240" behindDoc="0" locked="0" layoutInCell="1" hidden="0" allowOverlap="1" wp14:anchorId="14E538A0" wp14:editId="38BA0155">
            <wp:simplePos x="0" y="0"/>
            <wp:positionH relativeFrom="column">
              <wp:posOffset>5356225</wp:posOffset>
            </wp:positionH>
            <wp:positionV relativeFrom="paragraph">
              <wp:posOffset>9525</wp:posOffset>
            </wp:positionV>
            <wp:extent cx="485775" cy="686435"/>
            <wp:effectExtent l="0" t="0" r="0" b="0"/>
            <wp:wrapSquare wrapText="bothSides" distT="0" distB="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85775" cy="686435"/>
                    </a:xfrm>
                    <a:prstGeom prst="rect">
                      <a:avLst/>
                    </a:prstGeom>
                    <a:ln/>
                  </pic:spPr>
                </pic:pic>
              </a:graphicData>
            </a:graphic>
          </wp:anchor>
        </w:drawing>
      </w:r>
    </w:p>
    <w:p w14:paraId="6BAE22CA" w14:textId="53057AF2" w:rsidR="00923EFD" w:rsidRDefault="00F66F31">
      <w:pPr>
        <w:ind w:right="1067"/>
        <w:jc w:val="right"/>
        <w:rPr>
          <w:rFonts w:ascii="Tahoma" w:eastAsia="Tahoma" w:hAnsi="Tahoma" w:cs="Tahoma"/>
          <w:sz w:val="14"/>
          <w:szCs w:val="14"/>
        </w:rPr>
      </w:pPr>
      <w:r>
        <w:rPr>
          <w:rFonts w:ascii="Tahoma" w:eastAsia="Tahoma" w:hAnsi="Tahoma" w:cs="Tahoma"/>
          <w:sz w:val="14"/>
          <w:szCs w:val="14"/>
        </w:rPr>
        <w:t xml:space="preserve">Vol. 1, No. 1, 2022, pp. 44 </w:t>
      </w:r>
      <w:r w:rsidR="00D47A4F">
        <w:rPr>
          <w:rFonts w:ascii="Tahoma" w:eastAsia="Tahoma" w:hAnsi="Tahoma" w:cs="Tahoma"/>
          <w:sz w:val="14"/>
          <w:szCs w:val="14"/>
        </w:rPr>
        <w:t>-</w:t>
      </w:r>
      <w:r>
        <w:rPr>
          <w:rFonts w:ascii="Tahoma" w:eastAsia="Tahoma" w:hAnsi="Tahoma" w:cs="Tahoma"/>
          <w:sz w:val="14"/>
          <w:szCs w:val="14"/>
          <w:lang w:val="en-US"/>
        </w:rPr>
        <w:t xml:space="preserve"> </w:t>
      </w:r>
      <w:r>
        <w:rPr>
          <w:rFonts w:ascii="Tahoma" w:eastAsia="Tahoma" w:hAnsi="Tahoma" w:cs="Tahoma"/>
          <w:sz w:val="14"/>
          <w:szCs w:val="14"/>
        </w:rPr>
        <w:t>55</w:t>
      </w:r>
      <w:bookmarkStart w:id="0" w:name="_GoBack"/>
      <w:bookmarkEnd w:id="0"/>
    </w:p>
    <w:p w14:paraId="127995C6" w14:textId="77777777" w:rsidR="00923EFD" w:rsidRDefault="00D47A4F">
      <w:pPr>
        <w:ind w:left="4067" w:right="1063" w:hanging="848"/>
        <w:jc w:val="right"/>
        <w:rPr>
          <w:rFonts w:ascii="Tahoma" w:eastAsia="Tahoma" w:hAnsi="Tahoma" w:cs="Tahoma"/>
          <w:sz w:val="14"/>
          <w:szCs w:val="14"/>
        </w:rPr>
      </w:pPr>
      <w:r>
        <w:rPr>
          <w:rFonts w:ascii="Tahoma" w:eastAsia="Tahoma" w:hAnsi="Tahoma" w:cs="Tahoma"/>
          <w:sz w:val="14"/>
          <w:szCs w:val="14"/>
        </w:rPr>
        <w:t xml:space="preserve">Published by Department of Management, Faculty of Economics, </w:t>
      </w:r>
    </w:p>
    <w:p w14:paraId="5D73801B" w14:textId="77777777" w:rsidR="00923EFD" w:rsidRDefault="00D47A4F">
      <w:pPr>
        <w:ind w:left="4067" w:right="1063" w:hanging="848"/>
        <w:jc w:val="right"/>
        <w:rPr>
          <w:rFonts w:ascii="Tahoma" w:eastAsia="Tahoma" w:hAnsi="Tahoma" w:cs="Tahoma"/>
          <w:sz w:val="14"/>
          <w:szCs w:val="14"/>
        </w:rPr>
      </w:pPr>
      <w:r>
        <w:rPr>
          <w:rFonts w:ascii="Tahoma" w:eastAsia="Tahoma" w:hAnsi="Tahoma" w:cs="Tahoma"/>
          <w:sz w:val="14"/>
          <w:szCs w:val="14"/>
        </w:rPr>
        <w:t xml:space="preserve">Universitas Wahid Hasyim </w:t>
      </w:r>
    </w:p>
    <w:p w14:paraId="330667F9" w14:textId="77777777" w:rsidR="00923EFD" w:rsidRDefault="00D47A4F">
      <w:pPr>
        <w:ind w:left="4067" w:right="1063" w:hanging="848"/>
        <w:jc w:val="right"/>
        <w:rPr>
          <w:rFonts w:ascii="Tahoma" w:eastAsia="Tahoma" w:hAnsi="Tahoma" w:cs="Tahoma"/>
          <w:sz w:val="14"/>
          <w:szCs w:val="14"/>
        </w:rPr>
      </w:pPr>
      <w:r>
        <w:rPr>
          <w:rFonts w:ascii="Tahoma" w:eastAsia="Tahoma" w:hAnsi="Tahoma" w:cs="Tahoma"/>
          <w:sz w:val="14"/>
          <w:szCs w:val="14"/>
        </w:rPr>
        <w:t xml:space="preserve">(e-ISSN: </w:t>
      </w:r>
      <w:hyperlink r:id="rId9">
        <w:r>
          <w:rPr>
            <w:rFonts w:ascii="Tahoma" w:eastAsia="Tahoma" w:hAnsi="Tahoma" w:cs="Tahoma"/>
            <w:sz w:val="14"/>
            <w:szCs w:val="14"/>
          </w:rPr>
          <w:t>2962-5971</w:t>
        </w:r>
      </w:hyperlink>
      <w:r>
        <w:rPr>
          <w:rFonts w:ascii="Tahoma" w:eastAsia="Tahoma" w:hAnsi="Tahoma" w:cs="Tahoma"/>
          <w:sz w:val="14"/>
          <w:szCs w:val="14"/>
        </w:rPr>
        <w:t xml:space="preserve"> ; p-ISSN: </w:t>
      </w:r>
      <w:hyperlink r:id="rId10">
        <w:r>
          <w:rPr>
            <w:rFonts w:ascii="Tahoma" w:eastAsia="Tahoma" w:hAnsi="Tahoma" w:cs="Tahoma"/>
            <w:sz w:val="14"/>
            <w:szCs w:val="14"/>
          </w:rPr>
          <w:t>2963-8410</w:t>
        </w:r>
      </w:hyperlink>
      <w:r>
        <w:rPr>
          <w:rFonts w:ascii="Tahoma" w:eastAsia="Tahoma" w:hAnsi="Tahoma" w:cs="Tahoma"/>
          <w:sz w:val="14"/>
          <w:szCs w:val="14"/>
        </w:rPr>
        <w:t xml:space="preserve">) </w:t>
      </w:r>
    </w:p>
    <w:p w14:paraId="17CF7EF8" w14:textId="77777777" w:rsidR="00923EFD" w:rsidRDefault="00D47A4F">
      <w:pPr>
        <w:ind w:left="4067" w:right="1063" w:hanging="848"/>
        <w:jc w:val="right"/>
        <w:rPr>
          <w:rFonts w:ascii="Tahoma" w:eastAsia="Tahoma" w:hAnsi="Tahoma" w:cs="Tahoma"/>
          <w:sz w:val="14"/>
          <w:szCs w:val="14"/>
        </w:rPr>
      </w:pPr>
      <w:r>
        <w:rPr>
          <w:rFonts w:ascii="Tahoma" w:eastAsia="Tahoma" w:hAnsi="Tahoma" w:cs="Tahoma"/>
          <w:sz w:val="14"/>
          <w:szCs w:val="14"/>
        </w:rPr>
        <w:t>DOI: https://doi.org/</w:t>
      </w:r>
      <w:hyperlink r:id="rId11">
        <w:r>
          <w:rPr>
            <w:rFonts w:ascii="Tahoma" w:eastAsia="Tahoma" w:hAnsi="Tahoma" w:cs="Tahoma"/>
            <w:sz w:val="14"/>
            <w:szCs w:val="14"/>
          </w:rPr>
          <w:t>10.31942/ijmbs.v1i1.6791</w:t>
        </w:r>
      </w:hyperlink>
    </w:p>
    <w:p w14:paraId="0E46BCD3" w14:textId="77777777" w:rsidR="00923EFD" w:rsidRDefault="00923EFD">
      <w:pPr>
        <w:pBdr>
          <w:top w:val="nil"/>
          <w:left w:val="nil"/>
          <w:bottom w:val="nil"/>
          <w:right w:val="nil"/>
          <w:between w:val="nil"/>
        </w:pBdr>
        <w:spacing w:before="1"/>
        <w:rPr>
          <w:rFonts w:ascii="Helvetica Neue" w:eastAsia="Helvetica Neue" w:hAnsi="Helvetica Neue" w:cs="Helvetica Neue"/>
          <w:color w:val="000000"/>
          <w:sz w:val="14"/>
          <w:szCs w:val="14"/>
        </w:rPr>
      </w:pPr>
    </w:p>
    <w:tbl>
      <w:tblPr>
        <w:tblStyle w:val="a"/>
        <w:tblW w:w="8865" w:type="dxa"/>
        <w:tblInd w:w="349" w:type="dxa"/>
        <w:tblLayout w:type="fixed"/>
        <w:tblLook w:val="0000" w:firstRow="0" w:lastRow="0" w:firstColumn="0" w:lastColumn="0" w:noHBand="0" w:noVBand="0"/>
      </w:tblPr>
      <w:tblGrid>
        <w:gridCol w:w="2203"/>
        <w:gridCol w:w="6662"/>
      </w:tblGrid>
      <w:tr w:rsidR="00923EFD" w14:paraId="4CD84978" w14:textId="77777777">
        <w:trPr>
          <w:trHeight w:val="1780"/>
        </w:trPr>
        <w:tc>
          <w:tcPr>
            <w:tcW w:w="8865" w:type="dxa"/>
            <w:gridSpan w:val="2"/>
            <w:tcBorders>
              <w:top w:val="single" w:sz="12" w:space="0" w:color="000000"/>
              <w:bottom w:val="single" w:sz="12" w:space="0" w:color="000000"/>
            </w:tcBorders>
          </w:tcPr>
          <w:p w14:paraId="43994A21" w14:textId="3FEA4529" w:rsidR="004E6EF2" w:rsidRPr="004E6EF2" w:rsidRDefault="00F66F31" w:rsidP="004E6EF2">
            <w:pPr>
              <w:widowControl/>
              <w:rPr>
                <w:rFonts w:ascii="Arial" w:eastAsia="Arial" w:hAnsi="Arial" w:cs="Arial"/>
                <w:b/>
                <w:iCs/>
                <w:sz w:val="32"/>
                <w:szCs w:val="32"/>
              </w:rPr>
            </w:pPr>
            <w:r w:rsidRPr="004E6EF2">
              <w:rPr>
                <w:rFonts w:ascii="Arial" w:eastAsia="Arial" w:hAnsi="Arial" w:cs="Arial"/>
                <w:b/>
                <w:iCs/>
                <w:sz w:val="32"/>
                <w:szCs w:val="32"/>
              </w:rPr>
              <w:t xml:space="preserve">The Influence Of Corporate Social Responsibility On </w:t>
            </w:r>
            <w:r w:rsidRPr="004E6EF2">
              <w:rPr>
                <w:rFonts w:ascii="Arial" w:eastAsia="Arial" w:hAnsi="Arial" w:cs="Arial"/>
                <w:b/>
                <w:iCs/>
                <w:sz w:val="32"/>
                <w:szCs w:val="32"/>
                <w:lang w:val="en-US"/>
              </w:rPr>
              <w:t>Company</w:t>
            </w:r>
            <w:r w:rsidRPr="004E6EF2">
              <w:rPr>
                <w:rFonts w:ascii="Arial" w:eastAsia="Arial" w:hAnsi="Arial" w:cs="Arial"/>
                <w:b/>
                <w:iCs/>
                <w:sz w:val="32"/>
                <w:szCs w:val="32"/>
              </w:rPr>
              <w:t xml:space="preserve"> Value</w:t>
            </w:r>
          </w:p>
          <w:p w14:paraId="6ABDB8D7" w14:textId="5F76CA0E" w:rsidR="004E6EF2" w:rsidRPr="004E6EF2" w:rsidRDefault="00F66F31" w:rsidP="004E6EF2">
            <w:pPr>
              <w:widowControl/>
              <w:rPr>
                <w:rFonts w:ascii="Arial" w:eastAsia="Arial" w:hAnsi="Arial" w:cs="Arial"/>
                <w:b/>
                <w:bCs/>
                <w:iCs/>
                <w:sz w:val="32"/>
                <w:szCs w:val="32"/>
                <w:lang w:val="en-US"/>
              </w:rPr>
            </w:pPr>
            <w:r w:rsidRPr="004E6EF2">
              <w:rPr>
                <w:rFonts w:ascii="Arial" w:eastAsia="Arial" w:hAnsi="Arial" w:cs="Arial"/>
                <w:b/>
                <w:bCs/>
                <w:iCs/>
                <w:sz w:val="32"/>
                <w:szCs w:val="32"/>
                <w:lang w:val="en-US"/>
              </w:rPr>
              <w:t>(Empirical Study On Companies Included In The Idx Sri Kehati Esg Sector Leader Index)</w:t>
            </w:r>
          </w:p>
          <w:p w14:paraId="40AD29A9" w14:textId="77777777" w:rsidR="00923EFD" w:rsidRDefault="00923EFD">
            <w:pPr>
              <w:widowControl/>
              <w:rPr>
                <w:rFonts w:ascii="Arial" w:eastAsia="Arial" w:hAnsi="Arial" w:cs="Arial"/>
                <w:b/>
                <w:sz w:val="24"/>
                <w:szCs w:val="24"/>
              </w:rPr>
            </w:pPr>
          </w:p>
          <w:p w14:paraId="4E2411C9" w14:textId="4AF206F3" w:rsidR="00923EFD" w:rsidRDefault="004E6EF2">
            <w:pPr>
              <w:widowControl/>
              <w:rPr>
                <w:rFonts w:ascii="Arial" w:eastAsia="Arial" w:hAnsi="Arial" w:cs="Arial"/>
                <w:b/>
                <w:sz w:val="24"/>
                <w:szCs w:val="24"/>
                <w:vertAlign w:val="superscript"/>
              </w:rPr>
            </w:pPr>
            <w:r>
              <w:rPr>
                <w:rFonts w:ascii="Arial" w:eastAsia="Arial" w:hAnsi="Arial" w:cs="Arial"/>
                <w:b/>
                <w:sz w:val="24"/>
                <w:szCs w:val="24"/>
                <w:lang w:val="en-US"/>
              </w:rPr>
              <w:t>Fransiskus Benediktus Carolus Dendi Uma</w:t>
            </w:r>
            <w:r w:rsidR="00D47A4F">
              <w:rPr>
                <w:rFonts w:ascii="Arial" w:eastAsia="Arial" w:hAnsi="Arial" w:cs="Arial"/>
                <w:b/>
                <w:sz w:val="24"/>
                <w:szCs w:val="24"/>
                <w:vertAlign w:val="superscript"/>
              </w:rPr>
              <w:t>1</w:t>
            </w:r>
            <w:r w:rsidR="00D47A4F">
              <w:rPr>
                <w:rFonts w:ascii="Arial" w:eastAsia="Arial" w:hAnsi="Arial" w:cs="Arial"/>
                <w:b/>
                <w:sz w:val="24"/>
                <w:szCs w:val="24"/>
              </w:rPr>
              <w:t>,</w:t>
            </w:r>
          </w:p>
          <w:p w14:paraId="58CB1A3E" w14:textId="77777777" w:rsidR="00923EFD" w:rsidRDefault="00923EFD">
            <w:pPr>
              <w:pBdr>
                <w:top w:val="nil"/>
                <w:left w:val="nil"/>
                <w:bottom w:val="nil"/>
                <w:right w:val="nil"/>
                <w:between w:val="nil"/>
              </w:pBdr>
              <w:rPr>
                <w:rFonts w:ascii="Arial" w:eastAsia="Arial" w:hAnsi="Arial" w:cs="Arial"/>
                <w:color w:val="000000"/>
                <w:sz w:val="33"/>
                <w:szCs w:val="33"/>
              </w:rPr>
            </w:pPr>
          </w:p>
          <w:p w14:paraId="02BAAEA5" w14:textId="499B2BE2" w:rsidR="00923EFD" w:rsidRDefault="00D47A4F">
            <w:pPr>
              <w:pBdr>
                <w:right w:val="single" w:sz="4" w:space="4" w:color="000000"/>
              </w:pBdr>
              <w:rPr>
                <w:rFonts w:ascii="Arial" w:eastAsia="Arial" w:hAnsi="Arial" w:cs="Arial"/>
                <w:sz w:val="18"/>
                <w:szCs w:val="18"/>
              </w:rPr>
            </w:pPr>
            <w:r>
              <w:rPr>
                <w:rFonts w:ascii="Arial" w:eastAsia="Arial" w:hAnsi="Arial" w:cs="Arial"/>
                <w:sz w:val="18"/>
                <w:szCs w:val="18"/>
                <w:vertAlign w:val="superscript"/>
              </w:rPr>
              <w:t>1</w:t>
            </w:r>
            <w:r w:rsidR="004E6EF2">
              <w:rPr>
                <w:rFonts w:ascii="Arial" w:eastAsia="Arial" w:hAnsi="Arial" w:cs="Arial"/>
                <w:sz w:val="18"/>
                <w:szCs w:val="18"/>
                <w:lang w:val="en-US"/>
              </w:rPr>
              <w:t>Soegijapranata Catholic University, Indonesia</w:t>
            </w:r>
          </w:p>
          <w:p w14:paraId="4ECA958E" w14:textId="49F77109" w:rsidR="00923EFD" w:rsidRDefault="004E6EF2">
            <w:pPr>
              <w:pBdr>
                <w:right w:val="single" w:sz="4" w:space="4" w:color="000000"/>
              </w:pBdr>
              <w:rPr>
                <w:rFonts w:ascii="Arial" w:eastAsia="Arial" w:hAnsi="Arial" w:cs="Arial"/>
                <w:sz w:val="18"/>
                <w:szCs w:val="18"/>
              </w:rPr>
            </w:pPr>
            <w:r>
              <w:rPr>
                <w:rFonts w:ascii="Arial" w:eastAsia="Arial" w:hAnsi="Arial" w:cs="Arial"/>
                <w:sz w:val="18"/>
                <w:szCs w:val="18"/>
                <w:lang w:val="en-US"/>
              </w:rPr>
              <w:t>fransiskodendi@gmail.com</w:t>
            </w:r>
            <w:r w:rsidR="00D47A4F">
              <w:rPr>
                <w:rFonts w:ascii="Arial" w:eastAsia="Arial" w:hAnsi="Arial" w:cs="Arial"/>
                <w:sz w:val="18"/>
                <w:szCs w:val="18"/>
              </w:rPr>
              <w:t xml:space="preserve">                   </w:t>
            </w:r>
          </w:p>
        </w:tc>
      </w:tr>
      <w:tr w:rsidR="00923EFD" w14:paraId="7C4710B4" w14:textId="77777777">
        <w:trPr>
          <w:trHeight w:val="3734"/>
        </w:trPr>
        <w:tc>
          <w:tcPr>
            <w:tcW w:w="2203" w:type="dxa"/>
            <w:tcBorders>
              <w:top w:val="single" w:sz="12" w:space="0" w:color="000000"/>
              <w:bottom w:val="single" w:sz="12" w:space="0" w:color="000000"/>
            </w:tcBorders>
          </w:tcPr>
          <w:p w14:paraId="20876C1E" w14:textId="77777777" w:rsidR="00923EFD" w:rsidRDefault="00923EFD">
            <w:pPr>
              <w:pBdr>
                <w:top w:val="nil"/>
                <w:left w:val="nil"/>
                <w:bottom w:val="nil"/>
                <w:right w:val="nil"/>
                <w:between w:val="nil"/>
              </w:pBdr>
              <w:spacing w:before="33"/>
              <w:ind w:left="108"/>
              <w:rPr>
                <w:rFonts w:ascii="Tahoma" w:eastAsia="Tahoma" w:hAnsi="Tahoma" w:cs="Tahoma"/>
                <w:b/>
                <w:color w:val="000000"/>
                <w:sz w:val="18"/>
                <w:szCs w:val="18"/>
              </w:rPr>
            </w:pPr>
          </w:p>
          <w:p w14:paraId="064B877B" w14:textId="77777777" w:rsidR="00923EFD" w:rsidRDefault="00923EFD">
            <w:pPr>
              <w:pBdr>
                <w:top w:val="nil"/>
                <w:left w:val="nil"/>
                <w:bottom w:val="nil"/>
                <w:right w:val="nil"/>
                <w:between w:val="nil"/>
              </w:pBdr>
              <w:spacing w:before="33"/>
              <w:ind w:left="108"/>
              <w:rPr>
                <w:rFonts w:ascii="Tahoma" w:eastAsia="Tahoma" w:hAnsi="Tahoma" w:cs="Tahoma"/>
                <w:b/>
                <w:color w:val="000000"/>
                <w:sz w:val="18"/>
                <w:szCs w:val="18"/>
              </w:rPr>
            </w:pPr>
          </w:p>
          <w:p w14:paraId="1A991F3A" w14:textId="77777777" w:rsidR="00923EFD" w:rsidRDefault="00923EFD">
            <w:pPr>
              <w:pBdr>
                <w:top w:val="nil"/>
                <w:left w:val="nil"/>
                <w:bottom w:val="nil"/>
                <w:right w:val="nil"/>
                <w:between w:val="nil"/>
              </w:pBdr>
              <w:spacing w:before="33"/>
              <w:ind w:left="108"/>
              <w:rPr>
                <w:rFonts w:ascii="Arial MT" w:eastAsia="Arial MT" w:hAnsi="Arial MT" w:cs="Arial MT"/>
                <w:color w:val="000000"/>
                <w:sz w:val="18"/>
                <w:szCs w:val="18"/>
              </w:rPr>
            </w:pPr>
          </w:p>
          <w:p w14:paraId="7F4FA79E" w14:textId="77777777" w:rsidR="00923EFD" w:rsidRDefault="00923EFD">
            <w:pPr>
              <w:pBdr>
                <w:top w:val="nil"/>
                <w:left w:val="nil"/>
                <w:bottom w:val="nil"/>
                <w:right w:val="nil"/>
                <w:between w:val="nil"/>
              </w:pBdr>
              <w:spacing w:before="33"/>
              <w:ind w:left="108"/>
              <w:rPr>
                <w:rFonts w:ascii="Arial MT" w:eastAsia="Arial MT" w:hAnsi="Arial MT" w:cs="Arial MT"/>
                <w:color w:val="000000"/>
                <w:sz w:val="18"/>
                <w:szCs w:val="18"/>
              </w:rPr>
            </w:pPr>
          </w:p>
          <w:p w14:paraId="2DDE5767" w14:textId="77777777" w:rsidR="00923EFD" w:rsidRDefault="00923EFD">
            <w:pPr>
              <w:pBdr>
                <w:top w:val="nil"/>
                <w:left w:val="nil"/>
                <w:bottom w:val="nil"/>
                <w:right w:val="nil"/>
                <w:between w:val="nil"/>
              </w:pBdr>
              <w:spacing w:before="33"/>
              <w:ind w:left="108"/>
              <w:rPr>
                <w:rFonts w:ascii="Arial MT" w:eastAsia="Arial MT" w:hAnsi="Arial MT" w:cs="Arial MT"/>
                <w:color w:val="000000"/>
                <w:sz w:val="18"/>
                <w:szCs w:val="18"/>
              </w:rPr>
            </w:pPr>
          </w:p>
          <w:p w14:paraId="45CBDFC3" w14:textId="77777777" w:rsidR="00923EFD" w:rsidRDefault="00923EFD">
            <w:pPr>
              <w:pBdr>
                <w:top w:val="nil"/>
                <w:left w:val="nil"/>
                <w:bottom w:val="nil"/>
                <w:right w:val="nil"/>
                <w:between w:val="nil"/>
              </w:pBdr>
              <w:spacing w:before="33"/>
              <w:ind w:left="108"/>
              <w:rPr>
                <w:rFonts w:ascii="Arial MT" w:eastAsia="Arial MT" w:hAnsi="Arial MT" w:cs="Arial MT"/>
                <w:color w:val="000000"/>
                <w:sz w:val="18"/>
                <w:szCs w:val="18"/>
              </w:rPr>
            </w:pPr>
          </w:p>
          <w:p w14:paraId="39541169" w14:textId="77777777" w:rsidR="00923EFD" w:rsidRDefault="00923EFD">
            <w:pPr>
              <w:pBdr>
                <w:top w:val="nil"/>
                <w:left w:val="nil"/>
                <w:bottom w:val="nil"/>
                <w:right w:val="nil"/>
                <w:between w:val="nil"/>
              </w:pBdr>
              <w:spacing w:before="33"/>
              <w:ind w:left="108"/>
              <w:rPr>
                <w:rFonts w:ascii="Arial MT" w:eastAsia="Arial MT" w:hAnsi="Arial MT" w:cs="Arial MT"/>
                <w:color w:val="000000"/>
                <w:sz w:val="18"/>
                <w:szCs w:val="18"/>
              </w:rPr>
            </w:pPr>
          </w:p>
          <w:p w14:paraId="692CAD41" w14:textId="77777777" w:rsidR="00923EFD" w:rsidRDefault="00923EFD">
            <w:pPr>
              <w:pBdr>
                <w:top w:val="nil"/>
                <w:left w:val="nil"/>
                <w:bottom w:val="nil"/>
                <w:right w:val="nil"/>
                <w:between w:val="nil"/>
              </w:pBdr>
              <w:spacing w:before="33"/>
              <w:ind w:left="108"/>
              <w:rPr>
                <w:rFonts w:ascii="Arial MT" w:eastAsia="Arial MT" w:hAnsi="Arial MT" w:cs="Arial MT"/>
                <w:color w:val="000000"/>
                <w:sz w:val="18"/>
                <w:szCs w:val="18"/>
              </w:rPr>
            </w:pPr>
          </w:p>
          <w:p w14:paraId="71FF74B8" w14:textId="77777777" w:rsidR="00923EFD" w:rsidRDefault="00923EFD">
            <w:pPr>
              <w:pBdr>
                <w:top w:val="nil"/>
                <w:left w:val="nil"/>
                <w:bottom w:val="nil"/>
                <w:right w:val="nil"/>
                <w:between w:val="nil"/>
              </w:pBdr>
              <w:spacing w:before="33"/>
              <w:ind w:left="108"/>
              <w:rPr>
                <w:rFonts w:ascii="Arial MT" w:eastAsia="Arial MT" w:hAnsi="Arial MT" w:cs="Arial MT"/>
                <w:color w:val="000000"/>
                <w:sz w:val="18"/>
                <w:szCs w:val="18"/>
              </w:rPr>
            </w:pPr>
          </w:p>
          <w:p w14:paraId="702DBC70" w14:textId="77777777" w:rsidR="00923EFD" w:rsidRDefault="00923EFD">
            <w:pPr>
              <w:pBdr>
                <w:top w:val="nil"/>
                <w:left w:val="nil"/>
                <w:bottom w:val="nil"/>
                <w:right w:val="nil"/>
                <w:between w:val="nil"/>
              </w:pBdr>
              <w:spacing w:before="33"/>
              <w:ind w:left="108"/>
              <w:rPr>
                <w:rFonts w:ascii="Arial MT" w:eastAsia="Arial MT" w:hAnsi="Arial MT" w:cs="Arial MT"/>
                <w:color w:val="000000"/>
                <w:sz w:val="18"/>
                <w:szCs w:val="18"/>
              </w:rPr>
            </w:pPr>
          </w:p>
          <w:p w14:paraId="25A30FCC" w14:textId="77777777" w:rsidR="00923EFD" w:rsidRDefault="00923EFD">
            <w:pPr>
              <w:pBdr>
                <w:top w:val="nil"/>
                <w:left w:val="nil"/>
                <w:bottom w:val="nil"/>
                <w:right w:val="nil"/>
                <w:between w:val="nil"/>
              </w:pBdr>
              <w:spacing w:before="33"/>
              <w:ind w:left="108"/>
              <w:rPr>
                <w:rFonts w:ascii="Arial MT" w:eastAsia="Arial MT" w:hAnsi="Arial MT" w:cs="Arial MT"/>
                <w:color w:val="000000"/>
                <w:sz w:val="18"/>
                <w:szCs w:val="18"/>
              </w:rPr>
            </w:pPr>
          </w:p>
          <w:p w14:paraId="7BA1C95E" w14:textId="77777777" w:rsidR="00923EFD" w:rsidRDefault="00923EFD">
            <w:pPr>
              <w:pBdr>
                <w:top w:val="nil"/>
                <w:left w:val="nil"/>
                <w:bottom w:val="nil"/>
                <w:right w:val="nil"/>
                <w:between w:val="nil"/>
              </w:pBdr>
              <w:spacing w:before="33"/>
              <w:ind w:left="108"/>
              <w:rPr>
                <w:rFonts w:ascii="Arial MT" w:eastAsia="Arial MT" w:hAnsi="Arial MT" w:cs="Arial MT"/>
                <w:color w:val="000000"/>
                <w:sz w:val="18"/>
                <w:szCs w:val="18"/>
              </w:rPr>
            </w:pPr>
          </w:p>
          <w:p w14:paraId="08B70733" w14:textId="4DA5A06D" w:rsidR="00923EFD" w:rsidRDefault="00D47A4F">
            <w:pPr>
              <w:pBdr>
                <w:top w:val="nil"/>
                <w:left w:val="nil"/>
                <w:bottom w:val="nil"/>
                <w:right w:val="nil"/>
                <w:between w:val="nil"/>
              </w:pBdr>
              <w:spacing w:before="33"/>
              <w:ind w:left="108"/>
              <w:rPr>
                <w:rFonts w:ascii="Arial" w:eastAsia="Arial" w:hAnsi="Arial" w:cs="Arial"/>
                <w:color w:val="000000"/>
                <w:sz w:val="24"/>
                <w:szCs w:val="24"/>
              </w:rPr>
            </w:pPr>
            <w:r>
              <w:rPr>
                <w:rFonts w:ascii="Arial" w:eastAsia="Arial" w:hAnsi="Arial" w:cs="Arial"/>
                <w:color w:val="000000"/>
                <w:sz w:val="24"/>
                <w:szCs w:val="24"/>
              </w:rPr>
              <w:t>Keyword :</w:t>
            </w:r>
          </w:p>
          <w:p w14:paraId="26F8F3B1" w14:textId="6A23D31B" w:rsidR="00923EFD" w:rsidRDefault="00A64906" w:rsidP="00A64906">
            <w:pPr>
              <w:pBdr>
                <w:top w:val="nil"/>
                <w:left w:val="nil"/>
                <w:bottom w:val="nil"/>
                <w:right w:val="nil"/>
                <w:between w:val="nil"/>
              </w:pBdr>
              <w:spacing w:before="33"/>
              <w:ind w:left="108"/>
              <w:rPr>
                <w:rFonts w:ascii="Tahoma" w:eastAsia="Tahoma" w:hAnsi="Tahoma" w:cs="Tahoma"/>
                <w:b/>
                <w:color w:val="000000"/>
                <w:sz w:val="18"/>
                <w:szCs w:val="18"/>
              </w:rPr>
            </w:pPr>
            <w:r>
              <w:rPr>
                <w:rFonts w:ascii="Arial" w:eastAsia="Arial" w:hAnsi="Arial" w:cs="Arial"/>
                <w:i/>
                <w:color w:val="000000"/>
                <w:sz w:val="24"/>
                <w:szCs w:val="24"/>
                <w:lang w:val="en-US"/>
              </w:rPr>
              <w:t>Corporate Social Responsibility,</w:t>
            </w:r>
            <w:r w:rsidR="00D47A4F">
              <w:rPr>
                <w:rFonts w:ascii="Arial" w:eastAsia="Arial" w:hAnsi="Arial" w:cs="Arial"/>
                <w:i/>
                <w:color w:val="000000"/>
                <w:sz w:val="24"/>
                <w:szCs w:val="24"/>
              </w:rPr>
              <w:t xml:space="preserve"> </w:t>
            </w:r>
            <w:r>
              <w:rPr>
                <w:rFonts w:ascii="Arial" w:eastAsia="Arial" w:hAnsi="Arial" w:cs="Arial"/>
                <w:i/>
                <w:color w:val="000000"/>
                <w:sz w:val="24"/>
                <w:szCs w:val="24"/>
                <w:lang w:val="en-US"/>
              </w:rPr>
              <w:t>Company Value</w:t>
            </w:r>
          </w:p>
        </w:tc>
        <w:tc>
          <w:tcPr>
            <w:tcW w:w="6662" w:type="dxa"/>
            <w:tcBorders>
              <w:top w:val="single" w:sz="12" w:space="0" w:color="000000"/>
              <w:bottom w:val="single" w:sz="12" w:space="0" w:color="000000"/>
            </w:tcBorders>
          </w:tcPr>
          <w:p w14:paraId="37A9A1BF" w14:textId="2E518368" w:rsidR="00923EFD" w:rsidRDefault="00A64906" w:rsidP="004E6EF2">
            <w:pPr>
              <w:pBdr>
                <w:top w:val="nil"/>
                <w:left w:val="nil"/>
                <w:bottom w:val="nil"/>
                <w:right w:val="nil"/>
                <w:between w:val="nil"/>
              </w:pBdr>
              <w:ind w:right="109"/>
              <w:jc w:val="both"/>
              <w:rPr>
                <w:rFonts w:ascii="Arial" w:eastAsia="Arial" w:hAnsi="Arial" w:cs="Arial"/>
                <w:b/>
                <w:color w:val="000000"/>
                <w:sz w:val="24"/>
                <w:szCs w:val="24"/>
              </w:rPr>
            </w:pPr>
            <w:r>
              <w:rPr>
                <w:rFonts w:ascii="Arial" w:eastAsia="Arial" w:hAnsi="Arial" w:cs="Arial"/>
                <w:b/>
                <w:color w:val="000000"/>
                <w:sz w:val="24"/>
                <w:szCs w:val="24"/>
                <w:lang w:val="en-US"/>
              </w:rPr>
              <w:t xml:space="preserve">        </w:t>
            </w:r>
            <w:r w:rsidR="00D47A4F">
              <w:rPr>
                <w:rFonts w:ascii="Arial" w:eastAsia="Arial" w:hAnsi="Arial" w:cs="Arial"/>
                <w:b/>
                <w:color w:val="000000"/>
                <w:sz w:val="24"/>
                <w:szCs w:val="24"/>
              </w:rPr>
              <w:t>Abstract</w:t>
            </w:r>
          </w:p>
          <w:p w14:paraId="5C88CC58" w14:textId="77777777" w:rsidR="004E6EF2" w:rsidRPr="004E6EF2" w:rsidRDefault="004E6EF2" w:rsidP="004E6EF2">
            <w:pPr>
              <w:pBdr>
                <w:top w:val="nil"/>
                <w:left w:val="nil"/>
                <w:bottom w:val="nil"/>
                <w:right w:val="nil"/>
                <w:between w:val="nil"/>
              </w:pBdr>
              <w:ind w:left="546" w:right="109"/>
              <w:jc w:val="both"/>
              <w:rPr>
                <w:rFonts w:ascii="Arial" w:eastAsia="Arial" w:hAnsi="Arial" w:cs="Arial"/>
                <w:color w:val="000000"/>
                <w:sz w:val="24"/>
                <w:szCs w:val="24"/>
              </w:rPr>
            </w:pPr>
            <w:r w:rsidRPr="004E6EF2">
              <w:rPr>
                <w:rFonts w:ascii="Arial" w:eastAsia="Arial" w:hAnsi="Arial" w:cs="Arial"/>
                <w:color w:val="000000"/>
                <w:sz w:val="24"/>
                <w:szCs w:val="24"/>
              </w:rPr>
              <w:t xml:space="preserve">This research aims to analyze the influence of Corporate Social Responsibility on company value on the Indonesian Stock Exchange. The object of this research is companies that are members of the IDX SRI KEHATI ESG Sector Leader index in 2015-2020. The sampling technique is purposive sampling. The data used is secondary data which was analyzed using panel data regression. This research is quantitative research. The analysis tool uses the Classic Assumption Test, Model Test and Hypothesis Test with Eviews 12 software. The research result shows that Corporate Social Responsibility influences company value. </w:t>
            </w:r>
          </w:p>
          <w:p w14:paraId="2E7C9403" w14:textId="0CEEF3EA" w:rsidR="004E6EF2" w:rsidRDefault="004E6EF2">
            <w:pPr>
              <w:pBdr>
                <w:top w:val="nil"/>
                <w:left w:val="nil"/>
                <w:bottom w:val="nil"/>
                <w:right w:val="nil"/>
                <w:between w:val="nil"/>
              </w:pBdr>
              <w:ind w:left="546" w:right="109"/>
              <w:jc w:val="both"/>
              <w:rPr>
                <w:rFonts w:ascii="Arial MT" w:eastAsia="Arial MT" w:hAnsi="Arial MT" w:cs="Arial MT"/>
                <w:color w:val="000000"/>
                <w:sz w:val="20"/>
                <w:szCs w:val="20"/>
              </w:rPr>
            </w:pPr>
          </w:p>
        </w:tc>
      </w:tr>
    </w:tbl>
    <w:p w14:paraId="4D58C386" w14:textId="77777777" w:rsidR="00923EFD" w:rsidRDefault="00923EFD">
      <w:pPr>
        <w:rPr>
          <w:sz w:val="25"/>
          <w:szCs w:val="25"/>
        </w:rPr>
        <w:sectPr w:rsidR="00923EFD" w:rsidSect="00F66F31">
          <w:footerReference w:type="default" r:id="rId12"/>
          <w:pgSz w:w="11900" w:h="16850"/>
          <w:pgMar w:top="300" w:right="1340" w:bottom="280" w:left="1360" w:header="720" w:footer="720" w:gutter="0"/>
          <w:pgNumType w:start="45"/>
          <w:cols w:space="720"/>
        </w:sectPr>
      </w:pPr>
    </w:p>
    <w:p w14:paraId="6151C884" w14:textId="31CA1925" w:rsidR="00923EFD" w:rsidRDefault="00D47A4F">
      <w:pPr>
        <w:widowControl/>
        <w:ind w:left="426"/>
        <w:rPr>
          <w:rFonts w:ascii="Arial" w:eastAsia="Arial" w:hAnsi="Arial" w:cs="Arial"/>
          <w:b/>
          <w:sz w:val="24"/>
          <w:szCs w:val="24"/>
        </w:rPr>
      </w:pPr>
      <w:r>
        <w:rPr>
          <w:rFonts w:ascii="Arial" w:eastAsia="Arial" w:hAnsi="Arial" w:cs="Arial"/>
          <w:b/>
          <w:sz w:val="24"/>
          <w:szCs w:val="24"/>
        </w:rPr>
        <w:lastRenderedPageBreak/>
        <w:t>INTRODUCTION</w:t>
      </w:r>
    </w:p>
    <w:p w14:paraId="31335E7C" w14:textId="77777777" w:rsidR="00361365" w:rsidRDefault="00361365">
      <w:pPr>
        <w:widowControl/>
        <w:ind w:left="426"/>
        <w:rPr>
          <w:rFonts w:ascii="Arial" w:eastAsia="Arial" w:hAnsi="Arial" w:cs="Arial"/>
          <w:b/>
          <w:sz w:val="24"/>
          <w:szCs w:val="24"/>
        </w:rPr>
      </w:pPr>
    </w:p>
    <w:p w14:paraId="63839090" w14:textId="77777777" w:rsidR="00D7333B" w:rsidRPr="00D7333B" w:rsidRDefault="00D7333B" w:rsidP="00D7333B">
      <w:pPr>
        <w:widowControl/>
        <w:ind w:left="426" w:firstLine="567"/>
        <w:jc w:val="both"/>
        <w:rPr>
          <w:rFonts w:ascii="Arial" w:eastAsia="Arial" w:hAnsi="Arial" w:cs="Arial"/>
          <w:sz w:val="24"/>
          <w:szCs w:val="24"/>
        </w:rPr>
      </w:pPr>
      <w:r w:rsidRPr="00D7333B">
        <w:rPr>
          <w:rFonts w:ascii="Arial" w:eastAsia="Arial" w:hAnsi="Arial" w:cs="Arial"/>
          <w:sz w:val="24"/>
          <w:szCs w:val="24"/>
        </w:rPr>
        <w:t>The fundamental purpose of establishing a company is to improve the welfare of the company owner or shareholders. The welfare of shareholders is of course the company's main priority in running its business. (Shakil et al., 2019) said that neo-classical economic theory and most management theories are based on the assumption that profit maximization is the main goal of the company. This perspctive is also supported by Friedman in (R. C. Y. Chen &amp; Lee, 2017) who states that the social responsibility of a company is to increase or maximize the wealth of the shareholders.</w:t>
      </w:r>
    </w:p>
    <w:p w14:paraId="550360D3" w14:textId="77777777" w:rsidR="00D7333B" w:rsidRPr="00D7333B" w:rsidRDefault="00D7333B" w:rsidP="00D7333B">
      <w:pPr>
        <w:widowControl/>
        <w:ind w:left="426" w:firstLine="567"/>
        <w:jc w:val="both"/>
        <w:rPr>
          <w:rFonts w:ascii="Arial" w:eastAsia="Arial" w:hAnsi="Arial" w:cs="Arial"/>
          <w:sz w:val="24"/>
          <w:szCs w:val="24"/>
          <w:lang w:val="en-US"/>
        </w:rPr>
      </w:pPr>
      <w:r w:rsidRPr="00D7333B">
        <w:rPr>
          <w:rFonts w:ascii="Arial" w:eastAsia="Arial" w:hAnsi="Arial" w:cs="Arial"/>
          <w:sz w:val="24"/>
          <w:szCs w:val="24"/>
          <w:lang w:val="en-US"/>
        </w:rPr>
        <w:t>A successful company is a company that is able to increase shareholder wealth through profits earned. If a company in running its business is unable to increase shareholder wealth, then the company will be stigmatized as a failed company and not worthy for investment. Directly or indirectly, companies are required to have good financial performance; generate profits in various ways even at the expense of the environment and social conditions around the company.</w:t>
      </w:r>
    </w:p>
    <w:p w14:paraId="4D229355" w14:textId="77777777" w:rsidR="00D7333B" w:rsidRPr="00D7333B" w:rsidRDefault="00D7333B" w:rsidP="00D7333B">
      <w:pPr>
        <w:widowControl/>
        <w:ind w:left="426" w:firstLine="567"/>
        <w:jc w:val="both"/>
        <w:rPr>
          <w:rFonts w:ascii="Arial" w:eastAsia="Arial" w:hAnsi="Arial" w:cs="Arial"/>
          <w:sz w:val="24"/>
          <w:szCs w:val="24"/>
        </w:rPr>
      </w:pPr>
      <w:r w:rsidRPr="00D7333B">
        <w:rPr>
          <w:rFonts w:ascii="Arial" w:eastAsia="Arial" w:hAnsi="Arial" w:cs="Arial"/>
          <w:sz w:val="24"/>
          <w:szCs w:val="24"/>
        </w:rPr>
        <w:t>As a profit-oriented entity, generating profits is the company's top priority and is placed above everything else. This certainly gave rise to responses from various parties. A company orientation that only prioritizes profits because of its interests as a profit-oriented entity and does not care about the environmental and social conditions around the company is considered inappropriate.</w:t>
      </w:r>
    </w:p>
    <w:p w14:paraId="136CC1BF" w14:textId="77777777" w:rsidR="00D7333B" w:rsidRPr="00D7333B" w:rsidRDefault="00D7333B" w:rsidP="00D7333B">
      <w:pPr>
        <w:widowControl/>
        <w:ind w:left="426" w:firstLine="567"/>
        <w:jc w:val="both"/>
        <w:rPr>
          <w:rFonts w:ascii="Arial" w:eastAsia="Arial" w:hAnsi="Arial" w:cs="Arial"/>
          <w:sz w:val="24"/>
          <w:szCs w:val="24"/>
        </w:rPr>
      </w:pPr>
      <w:r w:rsidRPr="00D7333B">
        <w:rPr>
          <w:rFonts w:ascii="Arial" w:eastAsia="Arial" w:hAnsi="Arial" w:cs="Arial"/>
          <w:sz w:val="24"/>
          <w:szCs w:val="24"/>
        </w:rPr>
        <w:t>Business activities that justify any means to obtain large profits and result in environmental damage and social unrest need to be changed and improved. Not a few companies are blamed for various cases of environmental damage that cause natural disasters. The accusations leveled at this company are certainly not without reason. There is a lot of authentic evidence showing environmental damage caused by company business activities. Reporting from (Greenpeace, 2022) www.greenpeace.com, from 2015 to 2019, there were fires on 4.4 million hectares of land throughout Indonesia with 1.3 million hectares of land or around 30 percent of the land burned being oil palm concessions and paper pulp. Meanwhile, at the beginning of 2021 the Ministry of Environment and Forestry filed a lawsuit against 29 companies that caused forest and land fires (CNN, 2023) (www.cnnindonesia.com).</w:t>
      </w:r>
    </w:p>
    <w:p w14:paraId="25A08B2C" w14:textId="77777777" w:rsidR="00E807F9" w:rsidRPr="00E807F9" w:rsidRDefault="00E807F9" w:rsidP="00E807F9">
      <w:pPr>
        <w:widowControl/>
        <w:ind w:left="426" w:firstLine="567"/>
        <w:jc w:val="both"/>
        <w:rPr>
          <w:rFonts w:ascii="Arial" w:eastAsia="Arial" w:hAnsi="Arial" w:cs="Arial"/>
          <w:sz w:val="24"/>
          <w:szCs w:val="24"/>
        </w:rPr>
      </w:pPr>
      <w:r w:rsidRPr="00E807F9">
        <w:rPr>
          <w:rFonts w:ascii="Arial" w:eastAsia="Arial" w:hAnsi="Arial" w:cs="Arial"/>
          <w:sz w:val="24"/>
          <w:szCs w:val="24"/>
        </w:rPr>
        <w:t>Companies are required not only to be profit-oriented but also to be responsible for environmental and social conditions. Responding to massive demands from various parties, initiatives to be responsible for the environment and social conditions are currently increasing. In 2015, more than 1400 institutions managing $59 trillion in assets had registered with the United Nations-supported Principles for Responsible Investing or UNPRI (T. Chen et al., 2020).</w:t>
      </w:r>
    </w:p>
    <w:p w14:paraId="0198C5D7" w14:textId="77777777" w:rsidR="00D70F23" w:rsidRPr="00D70F23" w:rsidRDefault="00D70F23" w:rsidP="00D70F23">
      <w:pPr>
        <w:widowControl/>
        <w:ind w:left="426" w:firstLine="567"/>
        <w:jc w:val="both"/>
        <w:rPr>
          <w:rFonts w:ascii="Arial" w:eastAsia="Arial" w:hAnsi="Arial" w:cs="Arial"/>
          <w:sz w:val="24"/>
          <w:szCs w:val="24"/>
          <w:lang w:val="en-US"/>
        </w:rPr>
      </w:pPr>
      <w:r w:rsidRPr="00D70F23">
        <w:rPr>
          <w:rFonts w:ascii="Arial" w:eastAsia="Arial" w:hAnsi="Arial" w:cs="Arial"/>
          <w:sz w:val="24"/>
          <w:szCs w:val="24"/>
          <w:lang w:val="en-US"/>
        </w:rPr>
        <w:t>According to Friedman in (R. C. Y. Chen &amp; Lee, 2017), the social responsibility of a company is to increase or maximize the wealth of its shareholders. The paradigm built by Friedman gave rise to the view that environmental and social problems are the government's business because they receive taxes paid by companies.</w:t>
      </w:r>
    </w:p>
    <w:p w14:paraId="7186E261" w14:textId="77777777" w:rsidR="00D70F23" w:rsidRPr="00D70F23" w:rsidRDefault="00D70F23" w:rsidP="00D70F23">
      <w:pPr>
        <w:widowControl/>
        <w:ind w:left="426" w:firstLine="567"/>
        <w:jc w:val="both"/>
        <w:rPr>
          <w:rFonts w:ascii="Arial" w:eastAsia="Arial" w:hAnsi="Arial" w:cs="Arial"/>
          <w:sz w:val="24"/>
          <w:szCs w:val="24"/>
        </w:rPr>
      </w:pPr>
      <w:r w:rsidRPr="00D70F23">
        <w:rPr>
          <w:rFonts w:ascii="Arial" w:eastAsia="Arial" w:hAnsi="Arial" w:cs="Arial"/>
          <w:sz w:val="24"/>
          <w:szCs w:val="24"/>
          <w:lang w:val="en-US"/>
        </w:rPr>
        <w:t xml:space="preserve">After Friedman's corporate responsibility paradigm, a late paradigm developed which views social and environmental issues as an integral part of business activities, so that initiatives were built to place the interests of all stakeholders, not just shareholders, as the company's priority. Simister and Whittle in (Lee et al., 2020) say that many investors encourage companies to carry out social and environmental activities and responsibilities. Elias in (García-Sánchez et al., 2019) revealed that companies are urged by stakeholders to become ethical companies or care about the environmental and social conditions around the company. In (Lee </w:t>
      </w:r>
      <w:r w:rsidRPr="00D70F23">
        <w:rPr>
          <w:rFonts w:ascii="Arial" w:eastAsia="Arial" w:hAnsi="Arial" w:cs="Arial"/>
          <w:sz w:val="24"/>
          <w:szCs w:val="24"/>
          <w:lang w:val="en-US"/>
        </w:rPr>
        <w:lastRenderedPageBreak/>
        <w:t xml:space="preserve">et al., 2020), Heald emphasized that companies are obliged to organize and implement social policies that are constructive and humanistic apart from being profit-oriented because around one-ninth of the funds invested are part of the social responsibility portfolio (Becchetti et al., 2012). (T. Chen et al., 2020) said that commitment to responsible investment and paying attention to sustainable aspects can raise large amounts of funds because clients of financial asset management companies demand asset management companies to include social responsibility factors in investment portfolios. Freeman in (García-Sánchez et al., 2019) advises companies not only to focus on the goal of maximizing profits but also to accommodate the expectations of various stakeholders. Companies that are adequate to accommodate the expectations of various stakeholders can obtain above average financial performance. To accommodate the expectations of various stakeholders, companies should implement social responsibility; corporate social responsibility (CSR). Companies that implement CSR and publish quality CSR activity reports can gain better access to finance (García-Sánchez et al., 2019) because being involved in various sustainability programs actually indicates a company's good financial capabilities (Franco et al., 2020). There are several competitive advantages that can be obtained by companies that carry out CSR activities, including obtaining better financial performance, easier access to valuable or rare resources, attracting interest and retaining competent employees and gaining social legitimacy from the surrounding community (Oh et al., 2017) because investors, creditors and other stakeholders also consider CSR aspects in the decision-making process (Feng &amp; Wu, 2023). Apart from that, the implementation of CSR in Indonesia is mandated in Law Number 25 of 2007 concerning Capital Investment and Law Number 40 of 2007 concerning Limited Companies. </w:t>
      </w:r>
      <w:r w:rsidRPr="00D70F23">
        <w:rPr>
          <w:rFonts w:ascii="Arial" w:eastAsia="Arial" w:hAnsi="Arial" w:cs="Arial"/>
          <w:sz w:val="24"/>
          <w:szCs w:val="24"/>
        </w:rPr>
        <w:t xml:space="preserve"> </w:t>
      </w:r>
    </w:p>
    <w:p w14:paraId="60C4524F" w14:textId="77777777" w:rsidR="006D7FFA" w:rsidRPr="006D7FFA" w:rsidRDefault="006D7FFA" w:rsidP="006D7FFA">
      <w:pPr>
        <w:widowControl/>
        <w:ind w:left="426" w:firstLine="567"/>
        <w:jc w:val="both"/>
        <w:rPr>
          <w:rFonts w:ascii="Arial" w:eastAsia="Arial" w:hAnsi="Arial" w:cs="Arial"/>
          <w:sz w:val="24"/>
          <w:szCs w:val="24"/>
          <w:lang w:val="en-US"/>
        </w:rPr>
      </w:pPr>
      <w:r w:rsidRPr="006D7FFA">
        <w:rPr>
          <w:rFonts w:ascii="Arial" w:eastAsia="Arial" w:hAnsi="Arial" w:cs="Arial"/>
          <w:sz w:val="24"/>
          <w:szCs w:val="24"/>
          <w:lang w:val="en-US"/>
        </w:rPr>
        <w:t>Good CSR is CSR that is right on target. This means that the CSR implemented by the company has an impact on the social life of the community, preserving the environment and implementing good corporate governance. Apart from that, companies that implement CSR should be companies that do not do business in controversial matters such as gambling, pornography, pesticides, nuclear, weapons, tobacco, alcohol and natural resource mining. Companies that do not do business on controversial matters and publish sustainability reports are included in the IDX SRI KEHATI ESG Sector Leader index. Based on the explanation above, the title of this research is the influence of Corporate Social Responsibility on Company Value (Empirical Study of Companies Included in the 2015-2020 IDX SRI KEHATI ESG Sector Leader Index).</w:t>
      </w:r>
    </w:p>
    <w:p w14:paraId="52B9BBDD" w14:textId="77777777" w:rsidR="00923EFD" w:rsidRDefault="00923EFD" w:rsidP="008C6DAB">
      <w:pPr>
        <w:keepNext/>
        <w:keepLines/>
        <w:widowControl/>
        <w:jc w:val="both"/>
        <w:rPr>
          <w:rFonts w:ascii="Arial" w:eastAsia="Arial" w:hAnsi="Arial" w:cs="Arial"/>
          <w:b/>
          <w:sz w:val="24"/>
          <w:szCs w:val="24"/>
        </w:rPr>
      </w:pPr>
    </w:p>
    <w:p w14:paraId="3A68E421" w14:textId="31463D56" w:rsidR="00923EFD" w:rsidRDefault="00D47A4F">
      <w:pPr>
        <w:keepNext/>
        <w:keepLines/>
        <w:widowControl/>
        <w:ind w:left="426"/>
        <w:jc w:val="both"/>
        <w:rPr>
          <w:rFonts w:ascii="Arial" w:eastAsia="Arial" w:hAnsi="Arial" w:cs="Arial"/>
          <w:b/>
          <w:sz w:val="24"/>
          <w:szCs w:val="24"/>
        </w:rPr>
      </w:pPr>
      <w:r>
        <w:rPr>
          <w:rFonts w:ascii="Arial" w:eastAsia="Arial" w:hAnsi="Arial" w:cs="Arial"/>
          <w:b/>
          <w:sz w:val="24"/>
          <w:szCs w:val="24"/>
        </w:rPr>
        <w:t>LITERATURE REVIEW</w:t>
      </w:r>
    </w:p>
    <w:p w14:paraId="6EABCEB3" w14:textId="77777777" w:rsidR="00560D2D" w:rsidRDefault="00560D2D">
      <w:pPr>
        <w:keepNext/>
        <w:keepLines/>
        <w:widowControl/>
        <w:ind w:left="426"/>
        <w:jc w:val="both"/>
        <w:rPr>
          <w:rFonts w:ascii="Arial" w:eastAsia="Arial" w:hAnsi="Arial" w:cs="Arial"/>
          <w:b/>
          <w:sz w:val="24"/>
          <w:szCs w:val="24"/>
        </w:rPr>
      </w:pPr>
    </w:p>
    <w:p w14:paraId="5285645C" w14:textId="3D75978B" w:rsidR="00191AF0" w:rsidRPr="00191AF0" w:rsidRDefault="00191AF0" w:rsidP="00191AF0">
      <w:pPr>
        <w:widowControl/>
        <w:ind w:left="426"/>
        <w:jc w:val="both"/>
        <w:rPr>
          <w:rFonts w:ascii="Arial" w:eastAsia="Arial" w:hAnsi="Arial" w:cs="Arial"/>
          <w:b/>
          <w:sz w:val="24"/>
          <w:szCs w:val="24"/>
        </w:rPr>
      </w:pPr>
      <w:r w:rsidRPr="00191AF0">
        <w:rPr>
          <w:rFonts w:ascii="Arial" w:eastAsia="Arial" w:hAnsi="Arial" w:cs="Arial"/>
          <w:b/>
          <w:sz w:val="24"/>
          <w:szCs w:val="24"/>
          <w:lang w:val="en-US"/>
        </w:rPr>
        <w:t>Stakeholder Theory</w:t>
      </w:r>
    </w:p>
    <w:p w14:paraId="0AF6DB60" w14:textId="77777777" w:rsidR="00191AF0" w:rsidRPr="00191AF0" w:rsidRDefault="00191AF0" w:rsidP="00191AF0">
      <w:pPr>
        <w:widowControl/>
        <w:ind w:left="426" w:firstLine="567"/>
        <w:jc w:val="both"/>
        <w:rPr>
          <w:rFonts w:ascii="Arial" w:eastAsia="Arial" w:hAnsi="Arial" w:cs="Arial"/>
          <w:sz w:val="24"/>
          <w:szCs w:val="24"/>
        </w:rPr>
      </w:pPr>
      <w:r w:rsidRPr="00191AF0">
        <w:rPr>
          <w:rFonts w:ascii="Arial" w:eastAsia="Arial" w:hAnsi="Arial" w:cs="Arial"/>
          <w:sz w:val="24"/>
          <w:szCs w:val="24"/>
        </w:rPr>
        <w:t>Stakeholder theory is based on the view that business entities operate in an ecosystem consisting of various stakeholders who certainly contribute to business sustainability and the company's ability to create value for all stakeholders (Mahajan et al., 2023). This means that the company must be responsible for all stakeholder groups.</w:t>
      </w:r>
    </w:p>
    <w:p w14:paraId="3264E468" w14:textId="25A75557" w:rsidR="00191AF0" w:rsidRDefault="00D47A4F" w:rsidP="00191AF0">
      <w:pPr>
        <w:widowControl/>
        <w:ind w:left="426" w:firstLine="567"/>
        <w:jc w:val="both"/>
        <w:rPr>
          <w:rFonts w:ascii="Arial" w:eastAsia="Arial" w:hAnsi="Arial" w:cs="Arial"/>
          <w:sz w:val="24"/>
          <w:szCs w:val="24"/>
          <w:lang w:val="en-US"/>
        </w:rPr>
      </w:pPr>
      <w:r>
        <w:rPr>
          <w:rFonts w:ascii="Arial" w:eastAsia="Arial" w:hAnsi="Arial" w:cs="Arial"/>
          <w:sz w:val="24"/>
          <w:szCs w:val="24"/>
        </w:rPr>
        <w:t xml:space="preserve"> </w:t>
      </w:r>
      <w:r w:rsidR="00191AF0" w:rsidRPr="00191AF0">
        <w:rPr>
          <w:rFonts w:ascii="Arial" w:eastAsia="Arial" w:hAnsi="Arial" w:cs="Arial"/>
          <w:sz w:val="24"/>
          <w:szCs w:val="24"/>
          <w:lang w:val="en-US"/>
        </w:rPr>
        <w:t xml:space="preserve">Stakeholder theory emphasizes that a company is not an entity that operates to fulfill its own interests but must provide benefits to its stakeholders because the existence of a company is greatly influenced and depends on the support provided by stakeholders to the company. The stronger the influence of stakeholders, the greater the company's efforts to adapt. The final discourse related to stakeholder theory is corporate social responsibility (Freeman et al., 2010). Corporate social responsibility is an important part of the dialogue and communication that exists </w:t>
      </w:r>
      <w:r w:rsidR="00191AF0" w:rsidRPr="00191AF0">
        <w:rPr>
          <w:rFonts w:ascii="Arial" w:eastAsia="Arial" w:hAnsi="Arial" w:cs="Arial"/>
          <w:sz w:val="24"/>
          <w:szCs w:val="24"/>
          <w:lang w:val="en-US"/>
        </w:rPr>
        <w:lastRenderedPageBreak/>
        <w:t>between the company and all stakeholders. Corporate social responsibility allows companies to accommodate all stakeholders. Concrete evidence of corporate social responsibility for all stakeholders is the disclosure of sustainability reports.</w:t>
      </w:r>
    </w:p>
    <w:p w14:paraId="1F81B576" w14:textId="77777777" w:rsidR="00C162A3" w:rsidRDefault="00C162A3" w:rsidP="00191AF0">
      <w:pPr>
        <w:widowControl/>
        <w:ind w:left="426" w:firstLine="567"/>
        <w:jc w:val="both"/>
        <w:rPr>
          <w:rFonts w:ascii="Arial" w:eastAsia="Arial" w:hAnsi="Arial" w:cs="Arial"/>
          <w:sz w:val="24"/>
          <w:szCs w:val="24"/>
          <w:lang w:val="en-US"/>
        </w:rPr>
      </w:pPr>
    </w:p>
    <w:p w14:paraId="662AA1C1" w14:textId="70F5ED69" w:rsidR="00515F9C" w:rsidRPr="00515F9C" w:rsidRDefault="00515F9C" w:rsidP="00515F9C">
      <w:pPr>
        <w:widowControl/>
        <w:ind w:left="426"/>
        <w:jc w:val="both"/>
        <w:rPr>
          <w:rFonts w:cs="Arial"/>
          <w:b/>
          <w:i/>
          <w:iCs/>
          <w:lang w:eastAsia="ja-JP"/>
        </w:rPr>
      </w:pPr>
      <w:r w:rsidRPr="00515F9C">
        <w:rPr>
          <w:rFonts w:ascii="Arial" w:eastAsia="Arial" w:hAnsi="Arial" w:cs="Arial"/>
          <w:b/>
          <w:sz w:val="24"/>
          <w:szCs w:val="24"/>
          <w:lang w:val="en-US"/>
        </w:rPr>
        <w:t>Legitimacy</w:t>
      </w:r>
      <w:r>
        <w:rPr>
          <w:rFonts w:cs="Arial"/>
          <w:b/>
          <w:lang w:eastAsia="ja-JP"/>
        </w:rPr>
        <w:t xml:space="preserve"> Theory</w:t>
      </w:r>
    </w:p>
    <w:p w14:paraId="7566F415" w14:textId="77777777" w:rsidR="00515F9C" w:rsidRPr="00515F9C" w:rsidRDefault="00515F9C" w:rsidP="00515F9C">
      <w:pPr>
        <w:widowControl/>
        <w:ind w:left="426" w:firstLine="567"/>
        <w:jc w:val="both"/>
        <w:rPr>
          <w:rFonts w:ascii="Arial" w:eastAsia="Arial" w:hAnsi="Arial" w:cs="Arial"/>
          <w:sz w:val="24"/>
          <w:szCs w:val="24"/>
        </w:rPr>
      </w:pPr>
      <w:r w:rsidRPr="00515F9C">
        <w:rPr>
          <w:rFonts w:ascii="Arial" w:eastAsia="Arial" w:hAnsi="Arial" w:cs="Arial"/>
          <w:sz w:val="24"/>
          <w:szCs w:val="24"/>
        </w:rPr>
        <w:t>The company's efforts as a business entity to accommodate the interests of all stakeholders aim to obtain legitimacy from all stakeholders in carrying out the company's business activities. If the company does not accommodate the interests of all stakeholders, legitimacy and conflict problems will arise so these problems must be eliminated so as not to cause undesirable impacts (Janang et al., 2020).</w:t>
      </w:r>
    </w:p>
    <w:p w14:paraId="309555F1" w14:textId="77777777" w:rsidR="0029634A" w:rsidRPr="0029634A" w:rsidRDefault="0029634A" w:rsidP="0029634A">
      <w:pPr>
        <w:widowControl/>
        <w:ind w:left="426" w:firstLine="567"/>
        <w:jc w:val="both"/>
        <w:rPr>
          <w:rFonts w:ascii="Arial" w:eastAsia="Arial" w:hAnsi="Arial" w:cs="Arial"/>
          <w:sz w:val="24"/>
          <w:szCs w:val="24"/>
          <w:lang w:val="en-US"/>
        </w:rPr>
      </w:pPr>
      <w:r w:rsidRPr="0029634A">
        <w:rPr>
          <w:rFonts w:ascii="Arial" w:eastAsia="Arial" w:hAnsi="Arial" w:cs="Arial"/>
          <w:sz w:val="24"/>
          <w:szCs w:val="24"/>
          <w:lang w:val="en-US"/>
        </w:rPr>
        <w:t>Legitimacy is very crucial for a company because environmental and socio-cultural factors in the place where the company does business have a significant influence. It cannot be denied that in communities there are various boundaries that are emphasized through social values and norms and beliefs that must be adhered to along with natural conservation that must be maintained. This requires companies to adapt to the social environmental conditions around the company to gain legitimacy and avoid conflicts with stakeholders to ensure business sustainability.</w:t>
      </w:r>
    </w:p>
    <w:p w14:paraId="0D79C0D2" w14:textId="77777777" w:rsidR="0029634A" w:rsidRPr="0029634A" w:rsidRDefault="0029634A" w:rsidP="0029634A">
      <w:pPr>
        <w:widowControl/>
        <w:ind w:left="426" w:firstLine="567"/>
        <w:jc w:val="both"/>
        <w:rPr>
          <w:rFonts w:ascii="Arial" w:eastAsia="Arial" w:hAnsi="Arial" w:cs="Arial"/>
          <w:sz w:val="24"/>
          <w:szCs w:val="24"/>
          <w:lang w:val="en-US"/>
        </w:rPr>
      </w:pPr>
      <w:r w:rsidRPr="0029634A">
        <w:rPr>
          <w:rFonts w:ascii="Arial" w:eastAsia="Arial" w:hAnsi="Arial" w:cs="Arial"/>
          <w:sz w:val="24"/>
          <w:szCs w:val="24"/>
          <w:lang w:val="en-US"/>
        </w:rPr>
        <w:t>(Deephouse et al., 2016) define legitimacy as conformity between an organization and a social system in terms of rules, values, norms, understanding. Efforts to gain legitimacy can be achieved by implementing corporate social responsibility. Corporate social responsibility is a concrete form of the company's efforts to accommodate various stakeholders and show that the company operates within the corridors of values, norms and beliefs of society that are highly upheld. Concrete social responsibility is the disclosure of sustainability reports.</w:t>
      </w:r>
    </w:p>
    <w:p w14:paraId="65048D78" w14:textId="4E1B34F3" w:rsidR="00923EFD" w:rsidRDefault="0029634A">
      <w:pPr>
        <w:widowControl/>
        <w:ind w:left="426" w:firstLine="567"/>
        <w:jc w:val="both"/>
        <w:rPr>
          <w:rFonts w:ascii="Arial" w:eastAsia="Arial" w:hAnsi="Arial" w:cs="Arial"/>
          <w:sz w:val="24"/>
          <w:szCs w:val="24"/>
        </w:rPr>
      </w:pPr>
      <w:r w:rsidRPr="0029634A">
        <w:rPr>
          <w:rFonts w:ascii="Arial" w:eastAsia="Arial" w:hAnsi="Arial" w:cs="Arial"/>
          <w:sz w:val="24"/>
          <w:szCs w:val="24"/>
        </w:rPr>
        <w:t>Legitimacy theory emphasizes the company's obligation to operate within a framework of norms that are appropriate in the community environment where the company is located, so that the business run by the company is legitimate and does not conflict with the surrounding community.</w:t>
      </w:r>
    </w:p>
    <w:p w14:paraId="04CB3A41" w14:textId="77777777" w:rsidR="00C162A3" w:rsidRDefault="00C162A3">
      <w:pPr>
        <w:widowControl/>
        <w:ind w:left="426" w:firstLine="567"/>
        <w:jc w:val="both"/>
        <w:rPr>
          <w:rFonts w:ascii="Arial" w:eastAsia="Arial" w:hAnsi="Arial" w:cs="Arial"/>
          <w:sz w:val="24"/>
          <w:szCs w:val="24"/>
        </w:rPr>
      </w:pPr>
    </w:p>
    <w:p w14:paraId="28C6009A" w14:textId="6F28E6CE" w:rsidR="0029634A" w:rsidRPr="0029634A" w:rsidRDefault="0029634A" w:rsidP="0029634A">
      <w:pPr>
        <w:widowControl/>
        <w:ind w:left="426"/>
        <w:jc w:val="both"/>
        <w:rPr>
          <w:rFonts w:ascii="Arial" w:eastAsia="Arial" w:hAnsi="Arial" w:cs="Arial"/>
          <w:b/>
          <w:sz w:val="24"/>
          <w:szCs w:val="24"/>
          <w:lang w:val="en-US"/>
        </w:rPr>
      </w:pPr>
      <w:r w:rsidRPr="0029634A">
        <w:rPr>
          <w:rFonts w:ascii="Arial" w:eastAsia="Arial" w:hAnsi="Arial" w:cs="Arial"/>
          <w:b/>
          <w:sz w:val="24"/>
          <w:szCs w:val="24"/>
          <w:lang w:val="en-US"/>
        </w:rPr>
        <w:t>Corporate Social Responsibility</w:t>
      </w:r>
    </w:p>
    <w:p w14:paraId="4FF716DA" w14:textId="77777777" w:rsidR="0029634A" w:rsidRPr="0029634A" w:rsidRDefault="0029634A" w:rsidP="0029634A">
      <w:pPr>
        <w:widowControl/>
        <w:ind w:left="426" w:firstLine="567"/>
        <w:jc w:val="both"/>
        <w:rPr>
          <w:rFonts w:ascii="Arial" w:eastAsia="Arial" w:hAnsi="Arial" w:cs="Arial"/>
          <w:bCs/>
          <w:sz w:val="24"/>
          <w:szCs w:val="24"/>
          <w:lang w:val="en-US"/>
        </w:rPr>
      </w:pPr>
      <w:r w:rsidRPr="0029634A">
        <w:rPr>
          <w:rFonts w:ascii="Arial" w:eastAsia="Arial" w:hAnsi="Arial" w:cs="Arial"/>
          <w:bCs/>
          <w:sz w:val="24"/>
          <w:szCs w:val="24"/>
          <w:lang w:val="en-US"/>
        </w:rPr>
        <w:t>In an effort to accommodate the interests of various stakeholders and gain legitimacy from stakeholders, companies should implement corporate social responsibility. Corporate Social Responsibility is the commitment of a company or business world to contribute to sustainable economic development by paying attention to corporate social responsibility and emphasizing a balance between attention to economic, social and environmental aspects (Untung, 2009).</w:t>
      </w:r>
    </w:p>
    <w:p w14:paraId="719C7A93" w14:textId="77777777" w:rsidR="001572A4" w:rsidRPr="001572A4" w:rsidRDefault="001572A4" w:rsidP="001572A4">
      <w:pPr>
        <w:widowControl/>
        <w:ind w:left="426" w:firstLine="567"/>
        <w:jc w:val="both"/>
        <w:rPr>
          <w:rFonts w:ascii="Arial" w:eastAsia="Arial" w:hAnsi="Arial" w:cs="Arial"/>
          <w:bCs/>
          <w:iCs/>
          <w:sz w:val="24"/>
          <w:szCs w:val="24"/>
        </w:rPr>
      </w:pPr>
      <w:r w:rsidRPr="001572A4">
        <w:rPr>
          <w:rFonts w:ascii="Arial" w:eastAsia="Arial" w:hAnsi="Arial" w:cs="Arial"/>
          <w:bCs/>
          <w:iCs/>
          <w:sz w:val="24"/>
          <w:szCs w:val="24"/>
        </w:rPr>
        <w:t>According to John Elkington in (Azheri, 2012), Corporate Social Responsibility is a concept that states that organizations, both corporate and non-corporate, are obliged to accommodate the interests of all stakeholders and pay attention to ecological aspects in all their operational activities. This obligation goes beyond the legal obligation to comply with the law.</w:t>
      </w:r>
    </w:p>
    <w:p w14:paraId="5F1DD55E" w14:textId="6E1FB87C" w:rsidR="00450661" w:rsidRDefault="00450661" w:rsidP="00450661">
      <w:pPr>
        <w:widowControl/>
        <w:ind w:left="426" w:firstLine="567"/>
        <w:jc w:val="both"/>
        <w:rPr>
          <w:rFonts w:ascii="Arial" w:eastAsia="Arial" w:hAnsi="Arial" w:cs="Arial"/>
          <w:bCs/>
          <w:iCs/>
          <w:sz w:val="24"/>
          <w:szCs w:val="24"/>
        </w:rPr>
      </w:pPr>
      <w:r w:rsidRPr="00450661">
        <w:rPr>
          <w:rFonts w:ascii="Arial" w:eastAsia="Arial" w:hAnsi="Arial" w:cs="Arial"/>
          <w:bCs/>
          <w:iCs/>
          <w:sz w:val="24"/>
          <w:szCs w:val="24"/>
        </w:rPr>
        <w:t>(Mahrani &amp; Soewarno, 2018) measures CSR implemented by companies through the Global Reporting Initiative (GRI) 4 index which consists of 91 items. This is in line with (Jihadi et al., 2021) who measure CSR with the CSR Disclosure Index (CSRDI) which is guided by the Global Reporting Index (GRI) Indicator. In this research, company involvement in CSR activities is assessed based on the Global Reporting Initiative (GRI) Index 4 which consists of 91 indicators and the 2016 Global Reporting Initiative (GRI) Standard which consists of 89 indicators.</w:t>
      </w:r>
    </w:p>
    <w:p w14:paraId="51F56023" w14:textId="77777777" w:rsidR="00C162A3" w:rsidRDefault="00C162A3" w:rsidP="00450661">
      <w:pPr>
        <w:widowControl/>
        <w:ind w:left="426" w:firstLine="567"/>
        <w:jc w:val="both"/>
        <w:rPr>
          <w:rFonts w:ascii="Arial" w:eastAsia="Arial" w:hAnsi="Arial" w:cs="Arial"/>
          <w:bCs/>
          <w:iCs/>
          <w:sz w:val="24"/>
          <w:szCs w:val="24"/>
        </w:rPr>
      </w:pPr>
    </w:p>
    <w:p w14:paraId="58E74BF8" w14:textId="3C5A4542" w:rsidR="00C162A3" w:rsidRPr="00450661" w:rsidRDefault="004A57FB" w:rsidP="00C162A3">
      <w:pPr>
        <w:widowControl/>
        <w:ind w:left="426"/>
        <w:jc w:val="both"/>
        <w:rPr>
          <w:rFonts w:ascii="Arial" w:eastAsia="Arial" w:hAnsi="Arial" w:cs="Arial"/>
          <w:b/>
          <w:sz w:val="24"/>
          <w:szCs w:val="24"/>
          <w:lang w:val="en-US"/>
        </w:rPr>
      </w:pPr>
      <w:r w:rsidRPr="004A57FB">
        <w:rPr>
          <w:rFonts w:ascii="Arial" w:eastAsia="Arial" w:hAnsi="Arial" w:cs="Arial"/>
          <w:b/>
          <w:sz w:val="24"/>
          <w:szCs w:val="24"/>
          <w:lang w:val="en-US"/>
        </w:rPr>
        <w:t>Company Value</w:t>
      </w:r>
    </w:p>
    <w:p w14:paraId="4D842C44" w14:textId="77777777" w:rsidR="004A57FB" w:rsidRPr="004A57FB" w:rsidRDefault="004A57FB" w:rsidP="004A57FB">
      <w:pPr>
        <w:widowControl/>
        <w:ind w:left="426" w:firstLine="567"/>
        <w:jc w:val="both"/>
        <w:rPr>
          <w:rFonts w:ascii="Arial" w:eastAsia="Arial" w:hAnsi="Arial" w:cs="Arial"/>
          <w:sz w:val="24"/>
          <w:szCs w:val="24"/>
        </w:rPr>
      </w:pPr>
      <w:r w:rsidRPr="004A57FB">
        <w:rPr>
          <w:rFonts w:ascii="Arial" w:eastAsia="Arial" w:hAnsi="Arial" w:cs="Arial"/>
          <w:sz w:val="24"/>
          <w:szCs w:val="24"/>
        </w:rPr>
        <w:t xml:space="preserve">Company value is the price of the company if at any time a company is sold (Husna &amp; Satria, 2019). The higher the company value indicates that the company </w:t>
      </w:r>
      <w:r w:rsidRPr="004A57FB">
        <w:rPr>
          <w:rFonts w:ascii="Arial" w:eastAsia="Arial" w:hAnsi="Arial" w:cs="Arial"/>
          <w:sz w:val="24"/>
          <w:szCs w:val="24"/>
        </w:rPr>
        <w:lastRenderedPageBreak/>
        <w:t>is increasingly able to create or provide value and prosperity for the company owner. In many literatures such as (Gupta &amp; Krishnamurti, 2021), (Cho &amp; Tsang, 2020), (Noor et al., 2020), company value is measured by the Tobin's Q ratio. This ratio calculates the company's market value divided by the assets owned by the company. The company's market value is calculated based on the company's market capitalization value plus the amount of debt the company has.</w:t>
      </w:r>
    </w:p>
    <w:p w14:paraId="1E89DD20" w14:textId="4D75F88E" w:rsidR="00790AA0" w:rsidRDefault="00790AA0" w:rsidP="00790AA0">
      <w:pPr>
        <w:widowControl/>
        <w:ind w:left="426" w:firstLine="567"/>
        <w:jc w:val="both"/>
        <w:rPr>
          <w:rFonts w:ascii="Arial" w:eastAsia="Arial" w:hAnsi="Arial" w:cs="Arial"/>
          <w:sz w:val="24"/>
          <w:szCs w:val="24"/>
        </w:rPr>
      </w:pPr>
      <w:r w:rsidRPr="00790AA0">
        <w:rPr>
          <w:rFonts w:ascii="Arial" w:eastAsia="Arial" w:hAnsi="Arial" w:cs="Arial"/>
          <w:sz w:val="24"/>
          <w:szCs w:val="24"/>
        </w:rPr>
        <w:t>In this research, company value is measured by the Tobin's Q ratio. The ideal Tobin's Q value is 1. This means that the market values the company fairly. In other words, the market's perception of the company's value is the same as the company's book value. If Tobin's Q &lt; 1, the company's market value is classified as cheap (undervalued) because it is smaller than the book value. Meanwhile, if Tobin's Q &gt; 1, the company's market value is higher (overvalue) than the company's book value.</w:t>
      </w:r>
    </w:p>
    <w:p w14:paraId="41CD3142" w14:textId="77777777" w:rsidR="00C162A3" w:rsidRDefault="00C162A3" w:rsidP="00790AA0">
      <w:pPr>
        <w:widowControl/>
        <w:ind w:left="426" w:firstLine="567"/>
        <w:jc w:val="both"/>
        <w:rPr>
          <w:rFonts w:ascii="Arial" w:eastAsia="Arial" w:hAnsi="Arial" w:cs="Arial"/>
          <w:sz w:val="24"/>
          <w:szCs w:val="24"/>
        </w:rPr>
      </w:pPr>
    </w:p>
    <w:p w14:paraId="07249138" w14:textId="230907E3" w:rsidR="00700EC8" w:rsidRPr="00790AA0" w:rsidRDefault="00700EC8" w:rsidP="00700EC8">
      <w:pPr>
        <w:widowControl/>
        <w:ind w:left="426"/>
        <w:jc w:val="both"/>
        <w:rPr>
          <w:rFonts w:ascii="Arial" w:eastAsia="Arial" w:hAnsi="Arial" w:cs="Arial"/>
          <w:b/>
          <w:sz w:val="24"/>
          <w:szCs w:val="24"/>
          <w:lang w:val="en-US"/>
        </w:rPr>
      </w:pPr>
      <w:r w:rsidRPr="00700EC8">
        <w:rPr>
          <w:rFonts w:ascii="Arial" w:eastAsia="Arial" w:hAnsi="Arial" w:cs="Arial"/>
          <w:b/>
          <w:sz w:val="24"/>
          <w:szCs w:val="24"/>
          <w:lang w:val="en-US"/>
        </w:rPr>
        <w:t>The Influence of Corporate Social Responsibility on Company Value</w:t>
      </w:r>
    </w:p>
    <w:p w14:paraId="6F166DA9" w14:textId="77777777" w:rsidR="00700EC8" w:rsidRPr="00700EC8" w:rsidRDefault="00700EC8" w:rsidP="00700EC8">
      <w:pPr>
        <w:widowControl/>
        <w:ind w:left="426" w:firstLine="567"/>
        <w:jc w:val="both"/>
        <w:rPr>
          <w:rFonts w:ascii="Arial" w:eastAsia="Arial" w:hAnsi="Arial" w:cs="Arial"/>
          <w:sz w:val="24"/>
          <w:szCs w:val="24"/>
        </w:rPr>
      </w:pPr>
      <w:r w:rsidRPr="00700EC8">
        <w:rPr>
          <w:rFonts w:ascii="Arial" w:eastAsia="Arial" w:hAnsi="Arial" w:cs="Arial"/>
          <w:sz w:val="24"/>
          <w:szCs w:val="24"/>
        </w:rPr>
        <w:t xml:space="preserve">A study conducted by (Loh et al., 2017) in Singapore found that CSR activities had an effect on the value of companies listed on the Singapore Stock Exchange. Apart from that, companies that publish better sustainability reports obtain better company value. The results of the study (Yoon et al., 2018) found that CSR activities influence company value in Korea. In this study, CSR activities are assessed from economic, social and governance disclosure. The CSR activities carried out by the company received positive assessments from investors. In other words, CSR increases company value. The ability of CSR activities to increase company value is weaker for industries that are sensitive to environmental issues. On the other hand, the impact of CSR on company value is stronger for industries that are not sensitive to environmental issues and </w:t>
      </w:r>
      <w:r w:rsidRPr="00700EC8">
        <w:rPr>
          <w:rFonts w:ascii="Arial" w:eastAsia="Arial" w:hAnsi="Arial" w:cs="Arial"/>
          <w:i/>
          <w:iCs/>
          <w:sz w:val="24"/>
          <w:szCs w:val="24"/>
        </w:rPr>
        <w:t>chaebol</w:t>
      </w:r>
      <w:r w:rsidRPr="00700EC8">
        <w:rPr>
          <w:rFonts w:ascii="Arial" w:eastAsia="Arial" w:hAnsi="Arial" w:cs="Arial"/>
          <w:sz w:val="24"/>
          <w:szCs w:val="24"/>
        </w:rPr>
        <w:t xml:space="preserve"> companies that implement corporate governance reforms.</w:t>
      </w:r>
    </w:p>
    <w:p w14:paraId="105FD1BC" w14:textId="77777777" w:rsidR="007923F4" w:rsidRPr="007923F4" w:rsidRDefault="007923F4" w:rsidP="007923F4">
      <w:pPr>
        <w:widowControl/>
        <w:ind w:left="426" w:firstLine="567"/>
        <w:jc w:val="both"/>
        <w:rPr>
          <w:rFonts w:ascii="Arial" w:eastAsia="Arial" w:hAnsi="Arial" w:cs="Arial"/>
          <w:sz w:val="24"/>
          <w:szCs w:val="24"/>
        </w:rPr>
      </w:pPr>
      <w:r w:rsidRPr="007923F4">
        <w:rPr>
          <w:rFonts w:ascii="Arial" w:eastAsia="Arial" w:hAnsi="Arial" w:cs="Arial"/>
          <w:sz w:val="24"/>
          <w:szCs w:val="24"/>
        </w:rPr>
        <w:t xml:space="preserve">A study conducted by (Purbawangsa et al., 2020) on companies in Indonesia, China and India, found that CSR had an effect on company value. The reason for choosing Indonesia, China and India is economic strength. According to the IMF's World Economic Outlook, these three countries have had the highest economic growth in Asia in the last five years after the economic crisis that occurred in 2009. The results of this study are in line with the study (Yi et al., 2021) which revealed that CSR influences company value. during the Covid-19 pandemic. This study was conducted on private and state-owned companies in China. The results of this study reveal that CSR activities carried out by companies can be a guarantee for companies to survive in times of crisis and can increase company value. The impact of CSR on the value of private companies is more significant than the value of state-owned companies during the Covid-19 pandemic. </w:t>
      </w:r>
    </w:p>
    <w:p w14:paraId="7A6F0A40" w14:textId="16EB9695" w:rsidR="00E40B1F" w:rsidRDefault="00E40B1F" w:rsidP="00E40B1F">
      <w:pPr>
        <w:widowControl/>
        <w:ind w:left="426"/>
        <w:jc w:val="both"/>
        <w:rPr>
          <w:rFonts w:ascii="Arial" w:eastAsia="Arial" w:hAnsi="Arial" w:cs="Arial"/>
          <w:sz w:val="24"/>
          <w:szCs w:val="24"/>
        </w:rPr>
      </w:pPr>
      <w:r w:rsidRPr="00E40B1F">
        <w:rPr>
          <w:rFonts w:ascii="Arial" w:eastAsia="Arial" w:hAnsi="Arial" w:cs="Arial"/>
          <w:sz w:val="24"/>
          <w:szCs w:val="24"/>
        </w:rPr>
        <w:t>Based on the description above, the hypothesis in this research is:</w:t>
      </w:r>
    </w:p>
    <w:p w14:paraId="2482E276" w14:textId="77777777" w:rsidR="006E053E" w:rsidRPr="006E053E" w:rsidRDefault="006E053E" w:rsidP="006E053E">
      <w:pPr>
        <w:widowControl/>
        <w:ind w:left="426"/>
        <w:jc w:val="both"/>
        <w:rPr>
          <w:rFonts w:ascii="Arial" w:eastAsia="Arial" w:hAnsi="Arial" w:cs="Arial"/>
          <w:sz w:val="24"/>
          <w:szCs w:val="24"/>
          <w:lang w:val="en-US"/>
        </w:rPr>
      </w:pPr>
      <w:r w:rsidRPr="006E053E">
        <w:rPr>
          <w:rFonts w:ascii="Arial" w:eastAsia="Arial" w:hAnsi="Arial" w:cs="Arial"/>
          <w:sz w:val="24"/>
          <w:szCs w:val="24"/>
          <w:lang w:val="en-US"/>
        </w:rPr>
        <w:t>H1: Corporate Social Responsibility influences company value.</w:t>
      </w:r>
    </w:p>
    <w:p w14:paraId="6A3E371D" w14:textId="77777777" w:rsidR="00923EFD" w:rsidRDefault="00923EFD" w:rsidP="00D124C3">
      <w:pPr>
        <w:keepNext/>
        <w:keepLines/>
        <w:widowControl/>
        <w:jc w:val="both"/>
        <w:rPr>
          <w:rFonts w:ascii="Arial" w:eastAsia="Arial" w:hAnsi="Arial" w:cs="Arial"/>
          <w:sz w:val="24"/>
          <w:szCs w:val="24"/>
        </w:rPr>
      </w:pPr>
    </w:p>
    <w:p w14:paraId="6FD5390F" w14:textId="77777777" w:rsidR="00923EFD" w:rsidRDefault="00D47A4F">
      <w:pPr>
        <w:keepNext/>
        <w:keepLines/>
        <w:widowControl/>
        <w:ind w:left="426"/>
        <w:jc w:val="both"/>
        <w:rPr>
          <w:rFonts w:ascii="Arial" w:eastAsia="Arial" w:hAnsi="Arial" w:cs="Arial"/>
          <w:b/>
          <w:sz w:val="24"/>
          <w:szCs w:val="24"/>
        </w:rPr>
      </w:pPr>
      <w:r>
        <w:rPr>
          <w:rFonts w:ascii="Arial" w:eastAsia="Arial" w:hAnsi="Arial" w:cs="Arial"/>
          <w:b/>
          <w:sz w:val="24"/>
          <w:szCs w:val="24"/>
        </w:rPr>
        <w:t xml:space="preserve">CONCEPTUAL FRAMEWORK </w:t>
      </w:r>
    </w:p>
    <w:p w14:paraId="3E4DD363" w14:textId="77E78A5D" w:rsidR="007A7272" w:rsidRDefault="007A7272" w:rsidP="007A7272">
      <w:pPr>
        <w:widowControl/>
        <w:ind w:left="426"/>
        <w:jc w:val="both"/>
        <w:rPr>
          <w:rFonts w:ascii="Arial" w:eastAsia="Arial" w:hAnsi="Arial" w:cs="Arial"/>
          <w:sz w:val="24"/>
          <w:szCs w:val="24"/>
        </w:rPr>
      </w:pPr>
      <w:r w:rsidRPr="008C6DAB">
        <w:rPr>
          <w:rFonts w:ascii="Arial" w:eastAsia="Arial" w:hAnsi="Arial" w:cs="Arial"/>
          <w:sz w:val="24"/>
          <w:szCs w:val="24"/>
        </w:rPr>
        <w:t>Based on the description above, the research model can be described as follows:</w:t>
      </w:r>
    </w:p>
    <w:p w14:paraId="08B40661" w14:textId="77777777" w:rsidR="00C162A3" w:rsidRDefault="00C162A3" w:rsidP="007A7272">
      <w:pPr>
        <w:widowControl/>
        <w:ind w:left="426"/>
        <w:jc w:val="both"/>
        <w:rPr>
          <w:rFonts w:ascii="Arial" w:eastAsia="Arial" w:hAnsi="Arial" w:cs="Arial"/>
          <w:sz w:val="24"/>
          <w:szCs w:val="24"/>
        </w:rPr>
      </w:pPr>
    </w:p>
    <w:p w14:paraId="486810E3" w14:textId="5B81AB7D" w:rsidR="001C4BB2" w:rsidRPr="001C4BB2" w:rsidRDefault="001C4BB2" w:rsidP="001C4BB2">
      <w:pPr>
        <w:widowControl/>
        <w:ind w:left="426"/>
        <w:jc w:val="center"/>
        <w:rPr>
          <w:rFonts w:ascii="Arial" w:eastAsia="Arial" w:hAnsi="Arial" w:cs="Arial"/>
          <w:b/>
          <w:bCs/>
          <w:sz w:val="24"/>
          <w:szCs w:val="24"/>
          <w:lang w:val="en-US"/>
        </w:rPr>
      </w:pPr>
      <w:r>
        <w:rPr>
          <w:rFonts w:ascii="Arial" w:eastAsia="Arial" w:hAnsi="Arial" w:cs="Arial"/>
          <w:b/>
          <w:bCs/>
          <w:sz w:val="24"/>
          <w:szCs w:val="24"/>
          <w:lang w:val="en-US"/>
        </w:rPr>
        <w:t>Figure 1. Research Framework</w:t>
      </w:r>
    </w:p>
    <w:p w14:paraId="31E3F180" w14:textId="4A950A44" w:rsidR="00560D2D" w:rsidRPr="00560D2D" w:rsidRDefault="00C45A20" w:rsidP="00560D2D">
      <w:pPr>
        <w:widowControl/>
        <w:ind w:left="426"/>
        <w:jc w:val="both"/>
        <w:rPr>
          <w:rFonts w:eastAsia="Calibri" w:cs="Arial"/>
          <w:lang w:eastAsia="ja-JP"/>
        </w:rPr>
      </w:pPr>
      <w:r w:rsidRPr="0027685A">
        <w:rPr>
          <w:rFonts w:eastAsia="Calibri" w:cs="Arial"/>
          <w:noProof/>
          <w:lang w:val="en-US" w:eastAsia="en-US"/>
        </w:rPr>
        <w:drawing>
          <wp:inline distT="0" distB="0" distL="0" distR="0" wp14:anchorId="38B62ACE" wp14:editId="3F94FA13">
            <wp:extent cx="5397500" cy="889000"/>
            <wp:effectExtent l="0" t="0" r="0" b="0"/>
            <wp:docPr id="1" name="Gambar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7500" cy="889000"/>
                    </a:xfrm>
                    <a:prstGeom prst="rect">
                      <a:avLst/>
                    </a:prstGeom>
                    <a:noFill/>
                    <a:ln>
                      <a:noFill/>
                    </a:ln>
                  </pic:spPr>
                </pic:pic>
              </a:graphicData>
            </a:graphic>
          </wp:inline>
        </w:drawing>
      </w:r>
    </w:p>
    <w:p w14:paraId="692CDBA5" w14:textId="77777777" w:rsidR="00560D2D" w:rsidRDefault="00560D2D">
      <w:pPr>
        <w:keepNext/>
        <w:keepLines/>
        <w:widowControl/>
        <w:ind w:left="426"/>
        <w:jc w:val="both"/>
        <w:rPr>
          <w:rFonts w:ascii="Arial" w:eastAsia="Arial" w:hAnsi="Arial" w:cs="Arial"/>
          <w:b/>
          <w:sz w:val="24"/>
          <w:szCs w:val="24"/>
        </w:rPr>
      </w:pPr>
    </w:p>
    <w:p w14:paraId="7970BDD8" w14:textId="52B79DC8" w:rsidR="00923EFD" w:rsidRDefault="00D47A4F">
      <w:pPr>
        <w:keepNext/>
        <w:keepLines/>
        <w:widowControl/>
        <w:ind w:left="426"/>
        <w:jc w:val="both"/>
        <w:rPr>
          <w:rFonts w:ascii="Arial" w:eastAsia="Arial" w:hAnsi="Arial" w:cs="Arial"/>
          <w:b/>
          <w:sz w:val="24"/>
          <w:szCs w:val="24"/>
        </w:rPr>
      </w:pPr>
      <w:r>
        <w:rPr>
          <w:rFonts w:ascii="Arial" w:eastAsia="Arial" w:hAnsi="Arial" w:cs="Arial"/>
          <w:b/>
          <w:sz w:val="24"/>
          <w:szCs w:val="24"/>
        </w:rPr>
        <w:t>RESEARCH METHOD</w:t>
      </w:r>
    </w:p>
    <w:p w14:paraId="766E0ED7" w14:textId="77777777" w:rsidR="00560D2D" w:rsidRDefault="00560D2D">
      <w:pPr>
        <w:keepNext/>
        <w:keepLines/>
        <w:widowControl/>
        <w:ind w:left="426"/>
        <w:jc w:val="both"/>
        <w:rPr>
          <w:rFonts w:ascii="Arial" w:eastAsia="Arial" w:hAnsi="Arial" w:cs="Arial"/>
          <w:b/>
          <w:sz w:val="24"/>
          <w:szCs w:val="24"/>
        </w:rPr>
      </w:pPr>
    </w:p>
    <w:p w14:paraId="37E78079" w14:textId="7D655CA0" w:rsidR="00145604" w:rsidRDefault="00145604" w:rsidP="00145604">
      <w:pPr>
        <w:widowControl/>
        <w:ind w:left="426" w:firstLine="567"/>
        <w:jc w:val="both"/>
        <w:rPr>
          <w:rFonts w:ascii="Arial" w:eastAsia="Arial" w:hAnsi="Arial" w:cs="Arial"/>
          <w:sz w:val="24"/>
          <w:szCs w:val="24"/>
          <w:lang w:val="en-US"/>
        </w:rPr>
      </w:pPr>
      <w:r w:rsidRPr="00145604">
        <w:rPr>
          <w:rFonts w:ascii="Arial" w:eastAsia="Arial" w:hAnsi="Arial" w:cs="Arial"/>
          <w:sz w:val="24"/>
          <w:szCs w:val="24"/>
          <w:lang w:val="en-US"/>
        </w:rPr>
        <w:t xml:space="preserve">The variables in this </w:t>
      </w:r>
      <w:r w:rsidRPr="00145604">
        <w:rPr>
          <w:rFonts w:ascii="Arial" w:eastAsia="Arial" w:hAnsi="Arial" w:cs="Arial"/>
          <w:sz w:val="24"/>
          <w:szCs w:val="24"/>
        </w:rPr>
        <w:t>research</w:t>
      </w:r>
      <w:r w:rsidRPr="00145604">
        <w:rPr>
          <w:rFonts w:ascii="Arial" w:eastAsia="Arial" w:hAnsi="Arial" w:cs="Arial"/>
          <w:sz w:val="24"/>
          <w:szCs w:val="24"/>
          <w:lang w:val="en-US"/>
        </w:rPr>
        <w:t xml:space="preserve"> consist of independent variables and dependent variables. The independent variable in this research is corporate social responsibility. Meanwhile, the dependent variable is company value. The objects of this research are companies listed on the Indonesia Stock Exchange and included in the ESG Sector Leader IDX SRI KEHATI index for the 2015-2020 period, totaling 48 companies. The data used in this research is secondary data which is accessed via the website www.idx.co.id and the official website of each company. Determination of the research sample was carried out based on certain predetermined criteria (purposive sampling). The operational definition of each variable is as follows:</w:t>
      </w:r>
    </w:p>
    <w:p w14:paraId="349F5877" w14:textId="77777777" w:rsidR="00C162A3" w:rsidRPr="00145604" w:rsidRDefault="00C162A3" w:rsidP="00145604">
      <w:pPr>
        <w:widowControl/>
        <w:ind w:left="426" w:firstLine="567"/>
        <w:jc w:val="both"/>
        <w:rPr>
          <w:rFonts w:ascii="Arial" w:eastAsia="Arial" w:hAnsi="Arial" w:cs="Arial"/>
          <w:sz w:val="24"/>
          <w:szCs w:val="24"/>
          <w:lang w:val="en-US"/>
        </w:rPr>
      </w:pPr>
    </w:p>
    <w:p w14:paraId="5DE66622" w14:textId="22326A7E" w:rsidR="00145604" w:rsidRPr="00901FD3" w:rsidRDefault="00901FD3" w:rsidP="00901FD3">
      <w:pPr>
        <w:widowControl/>
        <w:ind w:left="426" w:firstLine="567"/>
        <w:jc w:val="center"/>
        <w:rPr>
          <w:rFonts w:ascii="Arial" w:eastAsia="Arial" w:hAnsi="Arial" w:cs="Arial"/>
          <w:b/>
          <w:bCs/>
          <w:sz w:val="24"/>
          <w:szCs w:val="24"/>
          <w:lang w:val="en-US"/>
        </w:rPr>
      </w:pPr>
      <w:r w:rsidRPr="00901FD3">
        <w:rPr>
          <w:rFonts w:ascii="Arial" w:eastAsia="Arial" w:hAnsi="Arial" w:cs="Arial"/>
          <w:b/>
          <w:bCs/>
          <w:sz w:val="24"/>
          <w:szCs w:val="24"/>
          <w:lang w:val="en-US"/>
        </w:rPr>
        <w:t xml:space="preserve">Table 1. </w:t>
      </w:r>
      <w:r>
        <w:rPr>
          <w:rFonts w:ascii="Arial" w:eastAsia="Arial" w:hAnsi="Arial" w:cs="Arial"/>
          <w:b/>
          <w:bCs/>
          <w:sz w:val="24"/>
          <w:szCs w:val="24"/>
          <w:lang w:val="en-US"/>
        </w:rPr>
        <w:t>O</w:t>
      </w:r>
      <w:r w:rsidRPr="00901FD3">
        <w:rPr>
          <w:rFonts w:ascii="Arial" w:eastAsia="Arial" w:hAnsi="Arial" w:cs="Arial"/>
          <w:b/>
          <w:bCs/>
          <w:sz w:val="24"/>
          <w:szCs w:val="24"/>
          <w:lang w:val="en-US"/>
        </w:rPr>
        <w:t xml:space="preserve">perational </w:t>
      </w:r>
      <w:r>
        <w:rPr>
          <w:rFonts w:ascii="Arial" w:eastAsia="Arial" w:hAnsi="Arial" w:cs="Arial"/>
          <w:b/>
          <w:bCs/>
          <w:sz w:val="24"/>
          <w:szCs w:val="24"/>
          <w:lang w:val="en-US"/>
        </w:rPr>
        <w:t>D</w:t>
      </w:r>
      <w:r w:rsidRPr="00901FD3">
        <w:rPr>
          <w:rFonts w:ascii="Arial" w:eastAsia="Arial" w:hAnsi="Arial" w:cs="Arial"/>
          <w:b/>
          <w:bCs/>
          <w:sz w:val="24"/>
          <w:szCs w:val="24"/>
          <w:lang w:val="en-US"/>
        </w:rPr>
        <w:t>efinition</w:t>
      </w:r>
    </w:p>
    <w:tbl>
      <w:tblPr>
        <w:tblW w:w="8863" w:type="dxa"/>
        <w:tblInd w:w="488" w:type="dxa"/>
        <w:tblLook w:val="04A0" w:firstRow="1" w:lastRow="0" w:firstColumn="1" w:lastColumn="0" w:noHBand="0" w:noVBand="1"/>
      </w:tblPr>
      <w:tblGrid>
        <w:gridCol w:w="500"/>
        <w:gridCol w:w="3402"/>
        <w:gridCol w:w="1275"/>
        <w:gridCol w:w="3695"/>
      </w:tblGrid>
      <w:tr w:rsidR="008205B0" w:rsidRPr="00572D29" w14:paraId="6A65D197" w14:textId="77777777" w:rsidTr="00C61B07">
        <w:trPr>
          <w:trHeight w:val="268"/>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991FA" w14:textId="49219308" w:rsidR="008205B0" w:rsidRPr="008205B0" w:rsidRDefault="008205B0" w:rsidP="00D8467B">
            <w:pPr>
              <w:shd w:val="clear" w:color="auto" w:fill="FFFFFF"/>
              <w:rPr>
                <w:rFonts w:cs="Arial"/>
                <w:b/>
                <w:bCs/>
                <w:lang w:val="en-US" w:eastAsia="ja-JP"/>
              </w:rPr>
            </w:pPr>
            <w:r>
              <w:rPr>
                <w:rFonts w:cs="Arial"/>
                <w:b/>
                <w:bCs/>
                <w:lang w:val="en-US" w:eastAsia="ja-JP"/>
              </w:rPr>
              <w:t>No</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2C52155E" w14:textId="7C8E20A6" w:rsidR="008205B0" w:rsidRPr="006743A4" w:rsidRDefault="006743A4" w:rsidP="00D8467B">
            <w:pPr>
              <w:shd w:val="clear" w:color="auto" w:fill="FFFFFF"/>
              <w:rPr>
                <w:rFonts w:cs="Arial"/>
                <w:b/>
                <w:bCs/>
                <w:lang w:val="en-US" w:eastAsia="ja-JP"/>
              </w:rPr>
            </w:pPr>
            <w:r>
              <w:rPr>
                <w:rFonts w:cs="Arial"/>
                <w:b/>
                <w:bCs/>
                <w:lang w:val="en-US" w:eastAsia="ja-JP"/>
              </w:rPr>
              <w:t>Variabel</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0A7CAE" w14:textId="58BDC915" w:rsidR="008205B0" w:rsidRPr="00572D29" w:rsidRDefault="008205B0" w:rsidP="00D8467B">
            <w:pPr>
              <w:shd w:val="clear" w:color="auto" w:fill="FFFFFF"/>
              <w:rPr>
                <w:rFonts w:cs="Arial"/>
                <w:b/>
                <w:bCs/>
                <w:lang w:eastAsia="ja-JP"/>
              </w:rPr>
            </w:pP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10641427" w14:textId="11B923FE" w:rsidR="008205B0" w:rsidRPr="00572D29" w:rsidRDefault="008205B0" w:rsidP="00D8467B">
            <w:pPr>
              <w:shd w:val="clear" w:color="auto" w:fill="FFFFFF"/>
              <w:rPr>
                <w:rFonts w:cs="Arial"/>
                <w:b/>
                <w:bCs/>
                <w:lang w:eastAsia="ja-JP"/>
              </w:rPr>
            </w:pPr>
          </w:p>
        </w:tc>
      </w:tr>
      <w:tr w:rsidR="006743A4" w:rsidRPr="00572D29" w14:paraId="0733C734" w14:textId="77777777" w:rsidTr="00C61B07">
        <w:trPr>
          <w:trHeight w:val="585"/>
        </w:trPr>
        <w:tc>
          <w:tcPr>
            <w:tcW w:w="500" w:type="dxa"/>
            <w:tcBorders>
              <w:top w:val="nil"/>
              <w:left w:val="single" w:sz="4" w:space="0" w:color="auto"/>
              <w:bottom w:val="single" w:sz="4" w:space="0" w:color="auto"/>
              <w:right w:val="single" w:sz="4" w:space="0" w:color="auto"/>
            </w:tcBorders>
            <w:shd w:val="clear" w:color="auto" w:fill="auto"/>
            <w:noWrap/>
          </w:tcPr>
          <w:p w14:paraId="5F2686C0" w14:textId="5FB73C87" w:rsidR="006743A4" w:rsidRPr="008205B0" w:rsidRDefault="006743A4" w:rsidP="005735C2">
            <w:pPr>
              <w:shd w:val="clear" w:color="auto" w:fill="FFFFFF"/>
              <w:rPr>
                <w:rFonts w:cs="Arial"/>
                <w:lang w:val="en-US" w:eastAsia="ja-JP"/>
              </w:rPr>
            </w:pPr>
            <w:r w:rsidRPr="005735C2">
              <w:rPr>
                <w:rFonts w:cs="Arial"/>
                <w:lang w:eastAsia="ja-JP"/>
              </w:rPr>
              <w:t>1</w:t>
            </w:r>
          </w:p>
        </w:tc>
        <w:tc>
          <w:tcPr>
            <w:tcW w:w="3402" w:type="dxa"/>
            <w:tcBorders>
              <w:top w:val="nil"/>
              <w:left w:val="nil"/>
              <w:bottom w:val="single" w:sz="4" w:space="0" w:color="auto"/>
              <w:right w:val="single" w:sz="4" w:space="0" w:color="auto"/>
            </w:tcBorders>
            <w:shd w:val="clear" w:color="auto" w:fill="auto"/>
            <w:noWrap/>
            <w:hideMark/>
          </w:tcPr>
          <w:p w14:paraId="4A596560" w14:textId="5C2BFEA5" w:rsidR="006743A4" w:rsidRPr="005735C2" w:rsidRDefault="006743A4" w:rsidP="005735C2">
            <w:pPr>
              <w:shd w:val="clear" w:color="auto" w:fill="FFFFFF"/>
              <w:rPr>
                <w:rFonts w:cs="Arial"/>
                <w:lang w:eastAsia="ja-JP"/>
              </w:rPr>
            </w:pPr>
            <w:r w:rsidRPr="00572D29">
              <w:rPr>
                <w:rFonts w:cs="Arial"/>
                <w:lang w:eastAsia="ja-JP"/>
              </w:rPr>
              <w:t>C</w:t>
            </w:r>
            <w:r w:rsidRPr="005735C2">
              <w:rPr>
                <w:rFonts w:cs="Arial"/>
                <w:lang w:eastAsia="ja-JP"/>
              </w:rPr>
              <w:t xml:space="preserve">orporate </w:t>
            </w:r>
            <w:r w:rsidRPr="00572D29">
              <w:rPr>
                <w:rFonts w:cs="Arial"/>
                <w:lang w:eastAsia="ja-JP"/>
              </w:rPr>
              <w:t>S</w:t>
            </w:r>
            <w:r w:rsidRPr="005735C2">
              <w:rPr>
                <w:rFonts w:cs="Arial"/>
                <w:lang w:eastAsia="ja-JP"/>
              </w:rPr>
              <w:t xml:space="preserve">ocial </w:t>
            </w:r>
            <w:r w:rsidRPr="00572D29">
              <w:rPr>
                <w:rFonts w:cs="Arial"/>
                <w:lang w:eastAsia="ja-JP"/>
              </w:rPr>
              <w:t>R</w:t>
            </w:r>
            <w:r w:rsidRPr="005735C2">
              <w:rPr>
                <w:rFonts w:cs="Arial"/>
                <w:lang w:eastAsia="ja-JP"/>
              </w:rPr>
              <w:t>esponsibility</w:t>
            </w:r>
          </w:p>
        </w:tc>
        <w:tc>
          <w:tcPr>
            <w:tcW w:w="1275" w:type="dxa"/>
            <w:tcBorders>
              <w:top w:val="nil"/>
              <w:left w:val="nil"/>
              <w:bottom w:val="single" w:sz="4" w:space="0" w:color="auto"/>
              <w:right w:val="single" w:sz="4" w:space="0" w:color="auto"/>
            </w:tcBorders>
            <w:shd w:val="clear" w:color="auto" w:fill="auto"/>
            <w:noWrap/>
            <w:hideMark/>
          </w:tcPr>
          <w:p w14:paraId="6292F92D" w14:textId="2D4FCFEC" w:rsidR="006743A4" w:rsidRPr="00DF4E8E" w:rsidRDefault="006743A4" w:rsidP="005735C2">
            <w:pPr>
              <w:shd w:val="clear" w:color="auto" w:fill="FFFFFF"/>
              <w:rPr>
                <w:rFonts w:cs="Arial"/>
                <w:lang w:val="en-US" w:eastAsia="ja-JP"/>
              </w:rPr>
            </w:pPr>
            <w:r w:rsidRPr="00572D29">
              <w:rPr>
                <w:rFonts w:cs="Arial"/>
                <w:lang w:eastAsia="ja-JP"/>
              </w:rPr>
              <w:t>CSR</w:t>
            </w:r>
            <w:r w:rsidR="00DF4E8E">
              <w:rPr>
                <w:rFonts w:cs="Arial"/>
                <w:lang w:val="en-US" w:eastAsia="ja-JP"/>
              </w:rPr>
              <w:t>I</w:t>
            </w:r>
          </w:p>
        </w:tc>
        <w:tc>
          <w:tcPr>
            <w:tcW w:w="3686" w:type="dxa"/>
            <w:tcBorders>
              <w:top w:val="nil"/>
              <w:left w:val="nil"/>
              <w:bottom w:val="single" w:sz="4" w:space="0" w:color="auto"/>
              <w:right w:val="single" w:sz="4" w:space="0" w:color="auto"/>
            </w:tcBorders>
            <w:shd w:val="clear" w:color="auto" w:fill="auto"/>
            <w:noWrap/>
            <w:vAlign w:val="center"/>
            <w:hideMark/>
          </w:tcPr>
          <w:p w14:paraId="0B4F95D5" w14:textId="5E4FF30A" w:rsidR="006743A4" w:rsidRPr="00CA2197" w:rsidRDefault="00DB7801" w:rsidP="005735C2">
            <w:pPr>
              <w:shd w:val="clear" w:color="auto" w:fill="FFFFFF"/>
              <w:rPr>
                <w:rFonts w:ascii="Arial" w:hAnsi="Arial" w:cs="Arial"/>
                <w:lang w:eastAsia="ja-JP"/>
              </w:rPr>
            </w:pPr>
            <m:oMathPara>
              <m:oMath>
                <m:f>
                  <m:fPr>
                    <m:ctrlPr>
                      <w:rPr>
                        <w:rFonts w:ascii="Cambria Math" w:hAnsi="Cambria Math" w:cs="Arial"/>
                        <w:i/>
                        <w:lang w:eastAsia="ja-JP"/>
                      </w:rPr>
                    </m:ctrlPr>
                  </m:fPr>
                  <m:num>
                    <m:r>
                      <w:rPr>
                        <w:rFonts w:ascii="Cambria Math" w:hAnsi="Cambria Math" w:cs="Arial"/>
                        <w:lang w:eastAsia="ja-JP"/>
                      </w:rPr>
                      <m:t>Items Reported</m:t>
                    </m:r>
                  </m:num>
                  <m:den>
                    <m:r>
                      <w:rPr>
                        <w:rFonts w:ascii="Cambria Math" w:hAnsi="Cambria Math" w:cs="Arial"/>
                        <w:lang w:eastAsia="ja-JP"/>
                      </w:rPr>
                      <m:t>Total Item</m:t>
                    </m:r>
                  </m:den>
                </m:f>
              </m:oMath>
            </m:oMathPara>
          </w:p>
        </w:tc>
      </w:tr>
      <w:tr w:rsidR="008205B0" w:rsidRPr="00572D29" w14:paraId="25E3B1D6" w14:textId="77777777" w:rsidTr="00C61B07">
        <w:trPr>
          <w:trHeight w:val="693"/>
        </w:trPr>
        <w:tc>
          <w:tcPr>
            <w:tcW w:w="500" w:type="dxa"/>
            <w:tcBorders>
              <w:top w:val="nil"/>
              <w:left w:val="single" w:sz="4" w:space="0" w:color="auto"/>
              <w:bottom w:val="single" w:sz="4" w:space="0" w:color="auto"/>
              <w:right w:val="single" w:sz="4" w:space="0" w:color="auto"/>
            </w:tcBorders>
            <w:shd w:val="clear" w:color="auto" w:fill="auto"/>
            <w:noWrap/>
            <w:hideMark/>
          </w:tcPr>
          <w:p w14:paraId="686DB98E" w14:textId="411AB1EC" w:rsidR="008205B0" w:rsidRPr="008205B0" w:rsidRDefault="008205B0" w:rsidP="005735C2">
            <w:pPr>
              <w:shd w:val="clear" w:color="auto" w:fill="FFFFFF"/>
              <w:rPr>
                <w:rFonts w:cs="Arial"/>
                <w:lang w:val="en-US" w:eastAsia="ja-JP"/>
              </w:rPr>
            </w:pPr>
            <w:r>
              <w:rPr>
                <w:rFonts w:cs="Arial"/>
                <w:lang w:val="en-US" w:eastAsia="ja-JP"/>
              </w:rPr>
              <w:t>2</w:t>
            </w:r>
          </w:p>
        </w:tc>
        <w:tc>
          <w:tcPr>
            <w:tcW w:w="3402" w:type="dxa"/>
            <w:tcBorders>
              <w:top w:val="nil"/>
              <w:left w:val="nil"/>
              <w:bottom w:val="single" w:sz="4" w:space="0" w:color="auto"/>
              <w:right w:val="single" w:sz="4" w:space="0" w:color="auto"/>
            </w:tcBorders>
            <w:shd w:val="clear" w:color="auto" w:fill="auto"/>
            <w:noWrap/>
            <w:hideMark/>
          </w:tcPr>
          <w:p w14:paraId="10CAC6C0" w14:textId="34018A3A" w:rsidR="008205B0" w:rsidRPr="006743A4" w:rsidRDefault="005735C2" w:rsidP="005735C2">
            <w:pPr>
              <w:shd w:val="clear" w:color="auto" w:fill="FFFFFF"/>
              <w:rPr>
                <w:rFonts w:cs="Arial"/>
                <w:lang w:val="en-US" w:eastAsia="ja-JP"/>
              </w:rPr>
            </w:pPr>
            <w:r>
              <w:rPr>
                <w:rFonts w:cs="Arial"/>
                <w:lang w:val="en-US" w:eastAsia="ja-JP"/>
              </w:rPr>
              <w:t>Company Value</w:t>
            </w:r>
          </w:p>
        </w:tc>
        <w:tc>
          <w:tcPr>
            <w:tcW w:w="1275" w:type="dxa"/>
            <w:tcBorders>
              <w:top w:val="nil"/>
              <w:left w:val="nil"/>
              <w:bottom w:val="single" w:sz="4" w:space="0" w:color="auto"/>
              <w:right w:val="single" w:sz="4" w:space="0" w:color="auto"/>
            </w:tcBorders>
            <w:shd w:val="clear" w:color="auto" w:fill="auto"/>
            <w:noWrap/>
            <w:hideMark/>
          </w:tcPr>
          <w:p w14:paraId="4E377FA7" w14:textId="24F5F959" w:rsidR="008205B0" w:rsidRPr="005735C2" w:rsidRDefault="005735C2" w:rsidP="005735C2">
            <w:pPr>
              <w:shd w:val="clear" w:color="auto" w:fill="FFFFFF"/>
              <w:rPr>
                <w:rFonts w:cs="Arial"/>
                <w:lang w:val="en-US" w:eastAsia="ja-JP"/>
              </w:rPr>
            </w:pPr>
            <w:r>
              <w:rPr>
                <w:rFonts w:cs="Arial"/>
                <w:lang w:val="en-US" w:eastAsia="ja-JP"/>
              </w:rPr>
              <w:t>Tobin’s Q</w:t>
            </w:r>
          </w:p>
        </w:tc>
        <w:tc>
          <w:tcPr>
            <w:tcW w:w="3686" w:type="dxa"/>
            <w:tcBorders>
              <w:top w:val="nil"/>
              <w:left w:val="nil"/>
              <w:bottom w:val="single" w:sz="4" w:space="0" w:color="auto"/>
              <w:right w:val="single" w:sz="4" w:space="0" w:color="auto"/>
            </w:tcBorders>
            <w:shd w:val="clear" w:color="auto" w:fill="auto"/>
            <w:noWrap/>
            <w:vAlign w:val="center"/>
            <w:hideMark/>
          </w:tcPr>
          <w:p w14:paraId="3A7B43C5" w14:textId="7F12C724" w:rsidR="008205B0" w:rsidRPr="00572D29" w:rsidRDefault="00DB7801" w:rsidP="005735C2">
            <w:pPr>
              <w:shd w:val="clear" w:color="auto" w:fill="FFFFFF"/>
              <w:rPr>
                <w:rFonts w:cs="Arial"/>
                <w:lang w:eastAsia="ja-JP"/>
              </w:rPr>
            </w:pPr>
            <m:oMathPara>
              <m:oMath>
                <m:f>
                  <m:fPr>
                    <m:ctrlPr>
                      <w:rPr>
                        <w:rFonts w:ascii="Cambria Math" w:hAnsi="Cambria Math" w:cs="Arial"/>
                        <w:i/>
                        <w:lang w:eastAsia="ja-JP"/>
                      </w:rPr>
                    </m:ctrlPr>
                  </m:fPr>
                  <m:num>
                    <m:r>
                      <w:rPr>
                        <w:rFonts w:ascii="Cambria Math" w:hAnsi="Cambria Math" w:cs="Arial"/>
                        <w:lang w:eastAsia="ja-JP"/>
                      </w:rPr>
                      <m:t>Market Capitalisation+Liabilities</m:t>
                    </m:r>
                  </m:num>
                  <m:den>
                    <m:r>
                      <w:rPr>
                        <w:rFonts w:ascii="Cambria Math" w:hAnsi="Cambria Math" w:cs="Arial"/>
                        <w:lang w:eastAsia="ja-JP"/>
                      </w:rPr>
                      <m:t>Assets</m:t>
                    </m:r>
                  </m:den>
                </m:f>
              </m:oMath>
            </m:oMathPara>
          </w:p>
        </w:tc>
      </w:tr>
    </w:tbl>
    <w:p w14:paraId="18CBC88D" w14:textId="77777777" w:rsidR="008205B0" w:rsidRDefault="008205B0">
      <w:pPr>
        <w:widowControl/>
        <w:ind w:left="426" w:firstLine="567"/>
        <w:jc w:val="both"/>
        <w:rPr>
          <w:rFonts w:ascii="Arial" w:eastAsia="Arial" w:hAnsi="Arial" w:cs="Arial"/>
          <w:sz w:val="24"/>
          <w:szCs w:val="24"/>
        </w:rPr>
      </w:pPr>
    </w:p>
    <w:p w14:paraId="6CE4CFEE" w14:textId="1C110B29" w:rsidR="00145604" w:rsidRDefault="00145604" w:rsidP="00145604">
      <w:pPr>
        <w:widowControl/>
        <w:ind w:left="426"/>
        <w:jc w:val="both"/>
        <w:rPr>
          <w:rFonts w:cs="Arial"/>
          <w:lang w:eastAsia="ja-JP"/>
        </w:rPr>
      </w:pPr>
      <w:r w:rsidRPr="00155610">
        <w:rPr>
          <w:rFonts w:cs="Arial"/>
          <w:lang w:eastAsia="ja-JP"/>
        </w:rPr>
        <w:t xml:space="preserve">The </w:t>
      </w:r>
      <w:r w:rsidRPr="00145604">
        <w:rPr>
          <w:rFonts w:ascii="Arial" w:eastAsia="Arial" w:hAnsi="Arial" w:cs="Arial"/>
          <w:sz w:val="24"/>
          <w:szCs w:val="24"/>
          <w:lang w:val="en-US"/>
        </w:rPr>
        <w:t>regression</w:t>
      </w:r>
      <w:r w:rsidRPr="00155610">
        <w:rPr>
          <w:rFonts w:cs="Arial"/>
          <w:lang w:eastAsia="ja-JP"/>
        </w:rPr>
        <w:t xml:space="preserve"> equation for this research is as follows:</w:t>
      </w:r>
    </w:p>
    <w:p w14:paraId="14E256E1" w14:textId="6CC64C40" w:rsidR="00A55B53" w:rsidRPr="00CC06FE" w:rsidRDefault="00A55B53" w:rsidP="00A55B53">
      <w:pPr>
        <w:shd w:val="clear" w:color="auto" w:fill="FFFFFF"/>
        <w:jc w:val="center"/>
        <w:rPr>
          <w:rFonts w:cs="Arial"/>
          <w:lang w:val="en-US" w:eastAsia="ja-JP"/>
        </w:rPr>
      </w:pPr>
      <w:r w:rsidRPr="00F153B4">
        <w:rPr>
          <w:rFonts w:cs="Arial"/>
          <w:lang w:eastAsia="ja-JP"/>
        </w:rPr>
        <w:t xml:space="preserve">Tobin’s Q = </w:t>
      </w:r>
      <w:r w:rsidRPr="00F153B4">
        <w:rPr>
          <w:rFonts w:cs="Arial"/>
          <w:lang w:eastAsia="ja-JP"/>
        </w:rPr>
        <w:sym w:font="Symbol" w:char="F061"/>
      </w:r>
      <w:r w:rsidRPr="00F153B4">
        <w:rPr>
          <w:rFonts w:cs="Arial"/>
          <w:lang w:eastAsia="ja-JP"/>
        </w:rPr>
        <w:t xml:space="preserve"> + </w:t>
      </w:r>
      <w:r w:rsidRPr="00F153B4">
        <w:rPr>
          <w:rFonts w:cs="Arial"/>
          <w:lang w:eastAsia="ja-JP"/>
        </w:rPr>
        <w:sym w:font="Symbol" w:char="F062"/>
      </w:r>
      <w:r w:rsidRPr="00F153B4">
        <w:rPr>
          <w:rFonts w:cs="Arial"/>
          <w:lang w:eastAsia="ja-JP"/>
        </w:rPr>
        <w:t>CSRI</w:t>
      </w:r>
      <w:r w:rsidR="00CC06FE">
        <w:rPr>
          <w:rFonts w:cs="Arial"/>
          <w:lang w:val="en-US" w:eastAsia="ja-JP"/>
        </w:rPr>
        <w:t>+ e</w:t>
      </w:r>
    </w:p>
    <w:p w14:paraId="12F2F54A" w14:textId="6340FA7A" w:rsidR="00A55B53" w:rsidRPr="00A55B53" w:rsidRDefault="00A55B53" w:rsidP="00A55B53">
      <w:pPr>
        <w:widowControl/>
        <w:ind w:left="426"/>
        <w:jc w:val="both"/>
        <w:rPr>
          <w:rFonts w:cs="Arial"/>
          <w:lang w:val="en-US" w:eastAsia="ja-JP"/>
        </w:rPr>
      </w:pPr>
      <w:r>
        <w:rPr>
          <w:rFonts w:cs="Arial"/>
          <w:lang w:val="en-US" w:eastAsia="ja-JP"/>
        </w:rPr>
        <w:t>Where</w:t>
      </w:r>
      <w:r w:rsidRPr="00A55B53">
        <w:rPr>
          <w:rFonts w:cs="Arial"/>
          <w:lang w:val="en-US" w:eastAsia="ja-JP"/>
        </w:rPr>
        <w:t xml:space="preserve"> : </w:t>
      </w:r>
    </w:p>
    <w:p w14:paraId="0DB8D028" w14:textId="77777777" w:rsidR="00A55B53" w:rsidRPr="00A55B53" w:rsidRDefault="00A55B53" w:rsidP="00A55B53">
      <w:pPr>
        <w:widowControl/>
        <w:ind w:left="426"/>
        <w:jc w:val="both"/>
        <w:rPr>
          <w:rFonts w:cs="Arial"/>
          <w:lang w:val="en-US" w:eastAsia="ja-JP"/>
        </w:rPr>
      </w:pPr>
      <w:r w:rsidRPr="00A55B53">
        <w:rPr>
          <w:rFonts w:cs="Arial"/>
          <w:lang w:val="en-US" w:eastAsia="ja-JP"/>
        </w:rPr>
        <w:t>Tobin’s Q = Company Value</w:t>
      </w:r>
    </w:p>
    <w:p w14:paraId="061651D2" w14:textId="77777777" w:rsidR="00A55B53" w:rsidRPr="00A55B53" w:rsidRDefault="00A55B53" w:rsidP="00A55B53">
      <w:pPr>
        <w:widowControl/>
        <w:ind w:left="426"/>
        <w:jc w:val="both"/>
        <w:rPr>
          <w:rFonts w:cs="Arial"/>
          <w:lang w:val="en-US" w:eastAsia="ja-JP"/>
        </w:rPr>
      </w:pPr>
      <w:r w:rsidRPr="00A55B53">
        <w:rPr>
          <w:rFonts w:cs="Arial"/>
          <w:lang w:val="en-US" w:eastAsia="ja-JP"/>
        </w:rPr>
        <w:sym w:font="Symbol" w:char="F061"/>
      </w:r>
      <w:r w:rsidRPr="00A55B53">
        <w:rPr>
          <w:rFonts w:cs="Arial"/>
          <w:lang w:val="en-US" w:eastAsia="ja-JP"/>
        </w:rPr>
        <w:t xml:space="preserve"> = Constant </w:t>
      </w:r>
    </w:p>
    <w:p w14:paraId="214D9D1D" w14:textId="141ACA41" w:rsidR="00A55B53" w:rsidRPr="00A55B53" w:rsidRDefault="00A55B53" w:rsidP="00A55B53">
      <w:pPr>
        <w:widowControl/>
        <w:ind w:left="426"/>
        <w:jc w:val="both"/>
        <w:rPr>
          <w:rFonts w:cs="Arial"/>
          <w:lang w:val="en-US" w:eastAsia="ja-JP"/>
        </w:rPr>
      </w:pPr>
      <w:r w:rsidRPr="00A55B53">
        <w:rPr>
          <w:rFonts w:cs="Arial"/>
          <w:lang w:val="en-US" w:eastAsia="ja-JP"/>
        </w:rPr>
        <w:sym w:font="Symbol" w:char="F062"/>
      </w:r>
      <w:r w:rsidR="00D248CE">
        <w:rPr>
          <w:rFonts w:cs="Arial"/>
          <w:lang w:val="en-US" w:eastAsia="ja-JP"/>
        </w:rPr>
        <w:t xml:space="preserve"> </w:t>
      </w:r>
      <w:r w:rsidRPr="00A55B53">
        <w:rPr>
          <w:rFonts w:cs="Arial"/>
          <w:lang w:val="en-US" w:eastAsia="ja-JP"/>
        </w:rPr>
        <w:t>= Coefficient of Independent Variable</w:t>
      </w:r>
    </w:p>
    <w:p w14:paraId="54E5F484" w14:textId="485E47FC" w:rsidR="00A55B53" w:rsidRDefault="00A55B53" w:rsidP="00A55B53">
      <w:pPr>
        <w:widowControl/>
        <w:ind w:left="426"/>
        <w:jc w:val="both"/>
        <w:rPr>
          <w:rFonts w:cs="Arial"/>
          <w:lang w:val="en-US" w:eastAsia="ja-JP"/>
        </w:rPr>
      </w:pPr>
      <w:r w:rsidRPr="00A55B53">
        <w:rPr>
          <w:rFonts w:cs="Arial"/>
          <w:lang w:val="en-US" w:eastAsia="ja-JP"/>
        </w:rPr>
        <w:t>CSRI = CSR Index</w:t>
      </w:r>
    </w:p>
    <w:p w14:paraId="63FC5906" w14:textId="02A98D73" w:rsidR="00D248CE" w:rsidRPr="00F153B4" w:rsidRDefault="00D248CE" w:rsidP="00A55B53">
      <w:pPr>
        <w:widowControl/>
        <w:ind w:left="426"/>
        <w:jc w:val="both"/>
        <w:rPr>
          <w:rFonts w:cs="Arial"/>
          <w:lang w:eastAsia="ja-JP"/>
        </w:rPr>
      </w:pPr>
      <w:r>
        <w:rPr>
          <w:rFonts w:cs="Arial"/>
          <w:lang w:val="en-US" w:eastAsia="ja-JP"/>
        </w:rPr>
        <w:t>e = Standard Error</w:t>
      </w:r>
    </w:p>
    <w:p w14:paraId="4F389C81" w14:textId="77777777" w:rsidR="00923EFD" w:rsidRDefault="00923EFD">
      <w:pPr>
        <w:widowControl/>
        <w:ind w:left="426" w:firstLine="284"/>
        <w:jc w:val="both"/>
        <w:rPr>
          <w:rFonts w:ascii="Arial" w:eastAsia="Arial" w:hAnsi="Arial" w:cs="Arial"/>
          <w:sz w:val="24"/>
          <w:szCs w:val="24"/>
        </w:rPr>
      </w:pPr>
    </w:p>
    <w:p w14:paraId="49D8F12E" w14:textId="78F3288C" w:rsidR="00923EFD" w:rsidRDefault="00D47A4F">
      <w:pPr>
        <w:keepNext/>
        <w:keepLines/>
        <w:widowControl/>
        <w:ind w:left="426"/>
        <w:jc w:val="both"/>
        <w:rPr>
          <w:rFonts w:ascii="Arial" w:eastAsia="Arial" w:hAnsi="Arial" w:cs="Arial"/>
          <w:b/>
          <w:sz w:val="24"/>
          <w:szCs w:val="24"/>
        </w:rPr>
      </w:pPr>
      <w:r>
        <w:rPr>
          <w:rFonts w:ascii="Arial" w:eastAsia="Arial" w:hAnsi="Arial" w:cs="Arial"/>
          <w:b/>
          <w:sz w:val="24"/>
          <w:szCs w:val="24"/>
        </w:rPr>
        <w:t>RESULT AND DISCUSSION</w:t>
      </w:r>
    </w:p>
    <w:p w14:paraId="23677A5F" w14:textId="77777777" w:rsidR="00560D2D" w:rsidRDefault="00560D2D">
      <w:pPr>
        <w:keepNext/>
        <w:keepLines/>
        <w:widowControl/>
        <w:ind w:left="426"/>
        <w:jc w:val="both"/>
        <w:rPr>
          <w:rFonts w:ascii="Arial" w:eastAsia="Arial" w:hAnsi="Arial" w:cs="Arial"/>
          <w:b/>
          <w:sz w:val="24"/>
          <w:szCs w:val="24"/>
        </w:rPr>
      </w:pPr>
    </w:p>
    <w:p w14:paraId="2F3730FB" w14:textId="53CE5D8F" w:rsidR="00215231" w:rsidRDefault="00215231" w:rsidP="00215231">
      <w:pPr>
        <w:widowControl/>
        <w:ind w:left="426"/>
        <w:jc w:val="both"/>
        <w:rPr>
          <w:rFonts w:ascii="Arial" w:eastAsia="Arial" w:hAnsi="Arial" w:cs="Arial"/>
          <w:b/>
          <w:sz w:val="24"/>
          <w:szCs w:val="24"/>
          <w:lang w:val="en-US"/>
        </w:rPr>
      </w:pPr>
      <w:r w:rsidRPr="00215231">
        <w:rPr>
          <w:rFonts w:ascii="Arial" w:eastAsia="Arial" w:hAnsi="Arial" w:cs="Arial"/>
          <w:b/>
          <w:sz w:val="24"/>
          <w:szCs w:val="24"/>
          <w:lang w:val="en-US"/>
        </w:rPr>
        <w:t>Descriptive Statistical Analysis</w:t>
      </w:r>
    </w:p>
    <w:p w14:paraId="2EE828FE" w14:textId="77777777" w:rsidR="00560D2D" w:rsidRDefault="00560D2D" w:rsidP="00215231">
      <w:pPr>
        <w:widowControl/>
        <w:ind w:left="426"/>
        <w:jc w:val="both"/>
        <w:rPr>
          <w:rFonts w:ascii="Arial" w:eastAsia="Arial" w:hAnsi="Arial" w:cs="Arial"/>
          <w:b/>
          <w:sz w:val="24"/>
          <w:szCs w:val="24"/>
          <w:lang w:val="en-US"/>
        </w:rPr>
      </w:pPr>
    </w:p>
    <w:p w14:paraId="4C9C9131" w14:textId="36F98E70" w:rsidR="00843B67" w:rsidRPr="00843B67" w:rsidRDefault="00843B67" w:rsidP="00843B67">
      <w:pPr>
        <w:widowControl/>
        <w:ind w:left="426" w:firstLine="567"/>
        <w:jc w:val="center"/>
        <w:rPr>
          <w:rFonts w:ascii="Arial" w:eastAsia="Arial" w:hAnsi="Arial" w:cs="Arial"/>
          <w:b/>
          <w:bCs/>
          <w:sz w:val="24"/>
          <w:szCs w:val="24"/>
          <w:lang w:val="en-US"/>
        </w:rPr>
      </w:pPr>
      <w:r w:rsidRPr="00843B67">
        <w:rPr>
          <w:rFonts w:ascii="Arial" w:eastAsia="Arial" w:hAnsi="Arial" w:cs="Arial"/>
          <w:b/>
          <w:bCs/>
          <w:sz w:val="24"/>
          <w:szCs w:val="24"/>
          <w:lang w:val="en-US"/>
        </w:rPr>
        <w:t>Table 2. Descriptive Statistic</w:t>
      </w:r>
    </w:p>
    <w:tbl>
      <w:tblPr>
        <w:tblW w:w="8438" w:type="dxa"/>
        <w:tblInd w:w="488" w:type="dxa"/>
        <w:tblLook w:val="04A0" w:firstRow="1" w:lastRow="0" w:firstColumn="1" w:lastColumn="0" w:noHBand="0" w:noVBand="1"/>
      </w:tblPr>
      <w:tblGrid>
        <w:gridCol w:w="1843"/>
        <w:gridCol w:w="567"/>
        <w:gridCol w:w="1276"/>
        <w:gridCol w:w="1390"/>
        <w:gridCol w:w="993"/>
        <w:gridCol w:w="2369"/>
      </w:tblGrid>
      <w:tr w:rsidR="00215231" w:rsidRPr="00572D29" w14:paraId="52FE4EBD" w14:textId="77777777" w:rsidTr="00D8467B">
        <w:trPr>
          <w:trHeight w:val="26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971F4" w14:textId="77777777" w:rsidR="00215231" w:rsidRPr="00572D29" w:rsidRDefault="00215231" w:rsidP="00D8467B">
            <w:pPr>
              <w:shd w:val="clear" w:color="auto" w:fill="FFFFFF"/>
              <w:rPr>
                <w:rFonts w:cs="Arial"/>
                <w:b/>
                <w:bCs/>
                <w:lang w:eastAsia="ja-JP"/>
              </w:rPr>
            </w:pPr>
            <w:r w:rsidRPr="00572D29">
              <w:rPr>
                <w:rFonts w:cs="Arial"/>
                <w:b/>
                <w:bCs/>
                <w:lang w:eastAsia="ja-JP"/>
              </w:rPr>
              <w:t>Variabel</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057395" w14:textId="77777777" w:rsidR="00215231" w:rsidRPr="00572D29" w:rsidRDefault="00215231" w:rsidP="00D8467B">
            <w:pPr>
              <w:shd w:val="clear" w:color="auto" w:fill="FFFFFF"/>
              <w:rPr>
                <w:rFonts w:cs="Arial"/>
                <w:b/>
                <w:bCs/>
                <w:lang w:eastAsia="ja-JP"/>
              </w:rPr>
            </w:pPr>
            <w:r w:rsidRPr="00572D29">
              <w:rPr>
                <w:rFonts w:cs="Arial"/>
                <w:b/>
                <w:bCs/>
                <w:lang w:eastAsia="ja-JP"/>
              </w:rPr>
              <w:t>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D300214" w14:textId="77777777" w:rsidR="00215231" w:rsidRPr="00572D29" w:rsidRDefault="00215231" w:rsidP="00D8467B">
            <w:pPr>
              <w:shd w:val="clear" w:color="auto" w:fill="FFFFFF"/>
              <w:rPr>
                <w:rFonts w:cs="Arial"/>
                <w:b/>
                <w:bCs/>
                <w:lang w:eastAsia="ja-JP"/>
              </w:rPr>
            </w:pPr>
            <w:r w:rsidRPr="00572D29">
              <w:rPr>
                <w:rFonts w:cs="Arial"/>
                <w:b/>
                <w:bCs/>
                <w:lang w:eastAsia="ja-JP"/>
              </w:rPr>
              <w:t>Minimum</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45CCA922" w14:textId="77777777" w:rsidR="00215231" w:rsidRPr="00572D29" w:rsidRDefault="00215231" w:rsidP="00D8467B">
            <w:pPr>
              <w:shd w:val="clear" w:color="auto" w:fill="FFFFFF"/>
              <w:rPr>
                <w:rFonts w:cs="Arial"/>
                <w:b/>
                <w:bCs/>
                <w:lang w:eastAsia="ja-JP"/>
              </w:rPr>
            </w:pPr>
            <w:r w:rsidRPr="00572D29">
              <w:rPr>
                <w:rFonts w:cs="Arial"/>
                <w:b/>
                <w:bCs/>
                <w:lang w:eastAsia="ja-JP"/>
              </w:rPr>
              <w:t>Maksimum</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7815E75" w14:textId="77777777" w:rsidR="00215231" w:rsidRPr="00572D29" w:rsidRDefault="00215231" w:rsidP="00D8467B">
            <w:pPr>
              <w:shd w:val="clear" w:color="auto" w:fill="FFFFFF"/>
              <w:rPr>
                <w:rFonts w:cs="Arial"/>
                <w:b/>
                <w:bCs/>
                <w:lang w:eastAsia="ja-JP"/>
              </w:rPr>
            </w:pPr>
            <w:r w:rsidRPr="00572D29">
              <w:rPr>
                <w:rFonts w:cs="Arial"/>
                <w:b/>
                <w:bCs/>
                <w:lang w:eastAsia="ja-JP"/>
              </w:rPr>
              <w:t>Mean</w:t>
            </w:r>
          </w:p>
        </w:tc>
        <w:tc>
          <w:tcPr>
            <w:tcW w:w="2369" w:type="dxa"/>
            <w:tcBorders>
              <w:top w:val="single" w:sz="4" w:space="0" w:color="auto"/>
              <w:left w:val="nil"/>
              <w:bottom w:val="single" w:sz="4" w:space="0" w:color="auto"/>
              <w:right w:val="single" w:sz="4" w:space="0" w:color="auto"/>
            </w:tcBorders>
            <w:shd w:val="clear" w:color="auto" w:fill="auto"/>
            <w:noWrap/>
            <w:vAlign w:val="bottom"/>
            <w:hideMark/>
          </w:tcPr>
          <w:p w14:paraId="191197EE" w14:textId="77777777" w:rsidR="00215231" w:rsidRPr="00572D29" w:rsidRDefault="00215231" w:rsidP="00D8467B">
            <w:pPr>
              <w:shd w:val="clear" w:color="auto" w:fill="FFFFFF"/>
              <w:rPr>
                <w:rFonts w:cs="Arial"/>
                <w:b/>
                <w:bCs/>
                <w:lang w:eastAsia="ja-JP"/>
              </w:rPr>
            </w:pPr>
            <w:r w:rsidRPr="00572D29">
              <w:rPr>
                <w:rFonts w:cs="Arial"/>
                <w:b/>
                <w:bCs/>
                <w:lang w:eastAsia="ja-JP"/>
              </w:rPr>
              <w:t>Std. Deviasi</w:t>
            </w:r>
          </w:p>
        </w:tc>
      </w:tr>
      <w:tr w:rsidR="00215231" w:rsidRPr="00572D29" w14:paraId="4893C5C9" w14:textId="77777777" w:rsidTr="00D8467B">
        <w:trPr>
          <w:trHeight w:val="268"/>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11F9B3B" w14:textId="77777777" w:rsidR="00215231" w:rsidRPr="00572D29" w:rsidRDefault="00215231" w:rsidP="00D8467B">
            <w:pPr>
              <w:shd w:val="clear" w:color="auto" w:fill="FFFFFF"/>
              <w:rPr>
                <w:rFonts w:cs="Arial"/>
                <w:lang w:eastAsia="ja-JP"/>
              </w:rPr>
            </w:pPr>
            <w:r w:rsidRPr="00572D29">
              <w:rPr>
                <w:rFonts w:cs="Arial"/>
                <w:lang w:eastAsia="ja-JP"/>
              </w:rPr>
              <w:t>CSR</w:t>
            </w:r>
          </w:p>
        </w:tc>
        <w:tc>
          <w:tcPr>
            <w:tcW w:w="567" w:type="dxa"/>
            <w:tcBorders>
              <w:top w:val="nil"/>
              <w:left w:val="nil"/>
              <w:bottom w:val="single" w:sz="4" w:space="0" w:color="auto"/>
              <w:right w:val="single" w:sz="4" w:space="0" w:color="auto"/>
            </w:tcBorders>
            <w:shd w:val="clear" w:color="auto" w:fill="auto"/>
            <w:noWrap/>
            <w:vAlign w:val="bottom"/>
            <w:hideMark/>
          </w:tcPr>
          <w:p w14:paraId="3492CF7F" w14:textId="77777777" w:rsidR="00215231" w:rsidRPr="006E3244" w:rsidRDefault="00215231" w:rsidP="00D8467B">
            <w:pPr>
              <w:shd w:val="clear" w:color="auto" w:fill="FFFFFF"/>
              <w:rPr>
                <w:rFonts w:cs="Arial"/>
                <w:lang w:eastAsia="ja-JP"/>
              </w:rPr>
            </w:pPr>
            <w:r>
              <w:rPr>
                <w:rFonts w:cs="Arial"/>
                <w:lang w:eastAsia="ja-JP"/>
              </w:rPr>
              <w:t>60</w:t>
            </w:r>
          </w:p>
        </w:tc>
        <w:tc>
          <w:tcPr>
            <w:tcW w:w="1276" w:type="dxa"/>
            <w:tcBorders>
              <w:top w:val="nil"/>
              <w:left w:val="nil"/>
              <w:bottom w:val="single" w:sz="4" w:space="0" w:color="auto"/>
              <w:right w:val="single" w:sz="4" w:space="0" w:color="auto"/>
            </w:tcBorders>
            <w:shd w:val="clear" w:color="auto" w:fill="auto"/>
            <w:noWrap/>
            <w:vAlign w:val="bottom"/>
            <w:hideMark/>
          </w:tcPr>
          <w:p w14:paraId="7F2F034A" w14:textId="77777777" w:rsidR="00215231" w:rsidRPr="00572D29" w:rsidRDefault="00215231" w:rsidP="00D8467B">
            <w:pPr>
              <w:shd w:val="clear" w:color="auto" w:fill="FFFFFF"/>
              <w:rPr>
                <w:rFonts w:cs="Arial"/>
                <w:lang w:eastAsia="ja-JP"/>
              </w:rPr>
            </w:pPr>
            <w:r w:rsidRPr="00572D29">
              <w:rPr>
                <w:rFonts w:cs="Arial"/>
                <w:lang w:eastAsia="ja-JP"/>
              </w:rPr>
              <w:t>0,071</w:t>
            </w:r>
          </w:p>
        </w:tc>
        <w:tc>
          <w:tcPr>
            <w:tcW w:w="1390" w:type="dxa"/>
            <w:tcBorders>
              <w:top w:val="nil"/>
              <w:left w:val="nil"/>
              <w:bottom w:val="single" w:sz="4" w:space="0" w:color="auto"/>
              <w:right w:val="single" w:sz="4" w:space="0" w:color="auto"/>
            </w:tcBorders>
            <w:shd w:val="clear" w:color="auto" w:fill="auto"/>
            <w:noWrap/>
            <w:vAlign w:val="bottom"/>
            <w:hideMark/>
          </w:tcPr>
          <w:p w14:paraId="499E3684" w14:textId="77777777" w:rsidR="00215231" w:rsidRPr="00572D29" w:rsidRDefault="00215231" w:rsidP="00D8467B">
            <w:pPr>
              <w:shd w:val="clear" w:color="auto" w:fill="FFFFFF"/>
              <w:rPr>
                <w:rFonts w:cs="Arial"/>
                <w:lang w:eastAsia="ja-JP"/>
              </w:rPr>
            </w:pPr>
            <w:r w:rsidRPr="00572D29">
              <w:rPr>
                <w:rFonts w:cs="Arial"/>
                <w:lang w:eastAsia="ja-JP"/>
              </w:rPr>
              <w:t>0,915</w:t>
            </w:r>
          </w:p>
        </w:tc>
        <w:tc>
          <w:tcPr>
            <w:tcW w:w="993" w:type="dxa"/>
            <w:tcBorders>
              <w:top w:val="nil"/>
              <w:left w:val="nil"/>
              <w:bottom w:val="single" w:sz="4" w:space="0" w:color="auto"/>
              <w:right w:val="single" w:sz="4" w:space="0" w:color="auto"/>
            </w:tcBorders>
            <w:shd w:val="clear" w:color="auto" w:fill="auto"/>
            <w:noWrap/>
            <w:vAlign w:val="bottom"/>
            <w:hideMark/>
          </w:tcPr>
          <w:p w14:paraId="559E3527" w14:textId="77777777" w:rsidR="00215231" w:rsidRPr="00572D29" w:rsidRDefault="00215231" w:rsidP="00D8467B">
            <w:pPr>
              <w:shd w:val="clear" w:color="auto" w:fill="FFFFFF"/>
              <w:rPr>
                <w:rFonts w:cs="Arial"/>
                <w:lang w:eastAsia="ja-JP"/>
              </w:rPr>
            </w:pPr>
            <w:r w:rsidRPr="00572D29">
              <w:rPr>
                <w:rFonts w:cs="Arial"/>
                <w:lang w:eastAsia="ja-JP"/>
              </w:rPr>
              <w:t>0,282</w:t>
            </w:r>
          </w:p>
        </w:tc>
        <w:tc>
          <w:tcPr>
            <w:tcW w:w="2369" w:type="dxa"/>
            <w:tcBorders>
              <w:top w:val="nil"/>
              <w:left w:val="nil"/>
              <w:bottom w:val="single" w:sz="4" w:space="0" w:color="auto"/>
              <w:right w:val="single" w:sz="4" w:space="0" w:color="auto"/>
            </w:tcBorders>
            <w:shd w:val="clear" w:color="auto" w:fill="auto"/>
            <w:noWrap/>
            <w:vAlign w:val="bottom"/>
            <w:hideMark/>
          </w:tcPr>
          <w:p w14:paraId="3169F2C9" w14:textId="77777777" w:rsidR="00215231" w:rsidRPr="00572D29" w:rsidRDefault="00215231" w:rsidP="00D8467B">
            <w:pPr>
              <w:shd w:val="clear" w:color="auto" w:fill="FFFFFF"/>
              <w:rPr>
                <w:rFonts w:cs="Arial"/>
                <w:lang w:eastAsia="ja-JP"/>
              </w:rPr>
            </w:pPr>
            <w:r w:rsidRPr="00572D29">
              <w:rPr>
                <w:rFonts w:cs="Arial"/>
                <w:lang w:eastAsia="ja-JP"/>
              </w:rPr>
              <w:t>0,1459</w:t>
            </w:r>
          </w:p>
        </w:tc>
      </w:tr>
      <w:tr w:rsidR="00215231" w:rsidRPr="00572D29" w14:paraId="5751975D" w14:textId="77777777" w:rsidTr="00D8467B">
        <w:trPr>
          <w:trHeight w:val="268"/>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81795C5" w14:textId="77777777" w:rsidR="00215231" w:rsidRPr="00D1473A" w:rsidRDefault="00215231" w:rsidP="00D8467B">
            <w:pPr>
              <w:shd w:val="clear" w:color="auto" w:fill="FFFFFF"/>
              <w:rPr>
                <w:rFonts w:cs="Arial"/>
                <w:lang w:eastAsia="ja-JP"/>
              </w:rPr>
            </w:pPr>
            <w:r>
              <w:rPr>
                <w:rFonts w:cs="Arial"/>
                <w:lang w:eastAsia="ja-JP"/>
              </w:rPr>
              <w:t>Tobin’s Q</w:t>
            </w:r>
          </w:p>
        </w:tc>
        <w:tc>
          <w:tcPr>
            <w:tcW w:w="567" w:type="dxa"/>
            <w:tcBorders>
              <w:top w:val="nil"/>
              <w:left w:val="nil"/>
              <w:bottom w:val="single" w:sz="4" w:space="0" w:color="auto"/>
              <w:right w:val="single" w:sz="4" w:space="0" w:color="auto"/>
            </w:tcBorders>
            <w:shd w:val="clear" w:color="auto" w:fill="auto"/>
            <w:noWrap/>
            <w:vAlign w:val="bottom"/>
            <w:hideMark/>
          </w:tcPr>
          <w:p w14:paraId="6BD99A07" w14:textId="77777777" w:rsidR="00215231" w:rsidRPr="006E3244" w:rsidRDefault="00215231" w:rsidP="00D8467B">
            <w:pPr>
              <w:shd w:val="clear" w:color="auto" w:fill="FFFFFF"/>
              <w:rPr>
                <w:rFonts w:cs="Arial"/>
                <w:lang w:eastAsia="ja-JP"/>
              </w:rPr>
            </w:pPr>
            <w:r>
              <w:rPr>
                <w:rFonts w:cs="Arial"/>
                <w:lang w:eastAsia="ja-JP"/>
              </w:rPr>
              <w:t>60</w:t>
            </w:r>
          </w:p>
        </w:tc>
        <w:tc>
          <w:tcPr>
            <w:tcW w:w="1276" w:type="dxa"/>
            <w:tcBorders>
              <w:top w:val="nil"/>
              <w:left w:val="nil"/>
              <w:bottom w:val="single" w:sz="4" w:space="0" w:color="auto"/>
              <w:right w:val="single" w:sz="4" w:space="0" w:color="auto"/>
            </w:tcBorders>
            <w:shd w:val="clear" w:color="auto" w:fill="auto"/>
            <w:noWrap/>
            <w:vAlign w:val="bottom"/>
            <w:hideMark/>
          </w:tcPr>
          <w:p w14:paraId="15F6FB3A" w14:textId="77777777" w:rsidR="00215231" w:rsidRPr="00572D29" w:rsidRDefault="00215231" w:rsidP="00D8467B">
            <w:pPr>
              <w:shd w:val="clear" w:color="auto" w:fill="FFFFFF"/>
              <w:rPr>
                <w:rFonts w:cs="Arial"/>
                <w:lang w:eastAsia="ja-JP"/>
              </w:rPr>
            </w:pPr>
            <w:r w:rsidRPr="00572D29">
              <w:rPr>
                <w:rFonts w:cs="Arial"/>
                <w:lang w:eastAsia="ja-JP"/>
              </w:rPr>
              <w:t>0,420</w:t>
            </w:r>
          </w:p>
        </w:tc>
        <w:tc>
          <w:tcPr>
            <w:tcW w:w="1390" w:type="dxa"/>
            <w:tcBorders>
              <w:top w:val="nil"/>
              <w:left w:val="nil"/>
              <w:bottom w:val="single" w:sz="4" w:space="0" w:color="auto"/>
              <w:right w:val="single" w:sz="4" w:space="0" w:color="auto"/>
            </w:tcBorders>
            <w:shd w:val="clear" w:color="auto" w:fill="auto"/>
            <w:noWrap/>
            <w:vAlign w:val="bottom"/>
            <w:hideMark/>
          </w:tcPr>
          <w:p w14:paraId="3F109D23" w14:textId="77777777" w:rsidR="00215231" w:rsidRPr="00572D29" w:rsidRDefault="00215231" w:rsidP="00D8467B">
            <w:pPr>
              <w:shd w:val="clear" w:color="auto" w:fill="FFFFFF"/>
              <w:rPr>
                <w:rFonts w:cs="Arial"/>
                <w:lang w:eastAsia="ja-JP"/>
              </w:rPr>
            </w:pPr>
            <w:r w:rsidRPr="00572D29">
              <w:rPr>
                <w:rFonts w:cs="Arial"/>
                <w:lang w:eastAsia="ja-JP"/>
              </w:rPr>
              <w:t>3,110</w:t>
            </w:r>
          </w:p>
        </w:tc>
        <w:tc>
          <w:tcPr>
            <w:tcW w:w="993" w:type="dxa"/>
            <w:tcBorders>
              <w:top w:val="nil"/>
              <w:left w:val="nil"/>
              <w:bottom w:val="single" w:sz="4" w:space="0" w:color="auto"/>
              <w:right w:val="single" w:sz="4" w:space="0" w:color="auto"/>
            </w:tcBorders>
            <w:shd w:val="clear" w:color="auto" w:fill="auto"/>
            <w:noWrap/>
            <w:vAlign w:val="bottom"/>
            <w:hideMark/>
          </w:tcPr>
          <w:p w14:paraId="7B6922F9" w14:textId="77777777" w:rsidR="00215231" w:rsidRPr="00572D29" w:rsidRDefault="00215231" w:rsidP="00D8467B">
            <w:pPr>
              <w:shd w:val="clear" w:color="auto" w:fill="FFFFFF"/>
              <w:rPr>
                <w:rFonts w:cs="Arial"/>
                <w:lang w:eastAsia="ja-JP"/>
              </w:rPr>
            </w:pPr>
            <w:r w:rsidRPr="00572D29">
              <w:rPr>
                <w:rFonts w:cs="Arial"/>
                <w:lang w:eastAsia="ja-JP"/>
              </w:rPr>
              <w:t>1,264</w:t>
            </w:r>
          </w:p>
        </w:tc>
        <w:tc>
          <w:tcPr>
            <w:tcW w:w="2369" w:type="dxa"/>
            <w:tcBorders>
              <w:top w:val="nil"/>
              <w:left w:val="nil"/>
              <w:bottom w:val="single" w:sz="4" w:space="0" w:color="auto"/>
              <w:right w:val="single" w:sz="4" w:space="0" w:color="auto"/>
            </w:tcBorders>
            <w:shd w:val="clear" w:color="auto" w:fill="auto"/>
            <w:noWrap/>
            <w:vAlign w:val="bottom"/>
            <w:hideMark/>
          </w:tcPr>
          <w:p w14:paraId="0B6FB3CE" w14:textId="77777777" w:rsidR="00215231" w:rsidRPr="00572D29" w:rsidRDefault="00215231" w:rsidP="00D8467B">
            <w:pPr>
              <w:shd w:val="clear" w:color="auto" w:fill="FFFFFF"/>
              <w:rPr>
                <w:rFonts w:cs="Arial"/>
                <w:lang w:eastAsia="ja-JP"/>
              </w:rPr>
            </w:pPr>
            <w:r w:rsidRPr="00572D29">
              <w:rPr>
                <w:rFonts w:cs="Arial"/>
                <w:lang w:eastAsia="ja-JP"/>
              </w:rPr>
              <w:t>0,6407</w:t>
            </w:r>
          </w:p>
        </w:tc>
      </w:tr>
    </w:tbl>
    <w:p w14:paraId="6C707147" w14:textId="1B795D49" w:rsidR="00215231" w:rsidRDefault="00074FE6" w:rsidP="00215231">
      <w:pPr>
        <w:widowControl/>
        <w:ind w:left="426"/>
        <w:jc w:val="both"/>
        <w:rPr>
          <w:rFonts w:ascii="Arial" w:eastAsia="Arial" w:hAnsi="Arial" w:cs="Arial"/>
          <w:bCs/>
          <w:sz w:val="24"/>
          <w:szCs w:val="24"/>
          <w:lang w:val="en-US"/>
        </w:rPr>
      </w:pPr>
      <w:r>
        <w:rPr>
          <w:rFonts w:ascii="Arial" w:eastAsia="Arial" w:hAnsi="Arial" w:cs="Arial"/>
          <w:bCs/>
          <w:sz w:val="24"/>
          <w:szCs w:val="24"/>
          <w:lang w:val="en-US"/>
        </w:rPr>
        <w:t>Source: Secondary Data Processed, 2023</w:t>
      </w:r>
    </w:p>
    <w:p w14:paraId="19FC782A" w14:textId="77777777" w:rsidR="00560D2D" w:rsidRPr="00215231" w:rsidRDefault="00560D2D" w:rsidP="00215231">
      <w:pPr>
        <w:widowControl/>
        <w:ind w:left="426"/>
        <w:jc w:val="both"/>
        <w:rPr>
          <w:rFonts w:ascii="Arial" w:eastAsia="Arial" w:hAnsi="Arial" w:cs="Arial"/>
          <w:bCs/>
          <w:sz w:val="24"/>
          <w:szCs w:val="24"/>
          <w:lang w:val="en-US"/>
        </w:rPr>
      </w:pPr>
    </w:p>
    <w:p w14:paraId="04D06A54" w14:textId="77777777" w:rsidR="00215231" w:rsidRPr="00215231" w:rsidRDefault="00215231" w:rsidP="00560D2D">
      <w:pPr>
        <w:widowControl/>
        <w:ind w:left="426" w:firstLine="294"/>
        <w:jc w:val="both"/>
        <w:rPr>
          <w:rFonts w:ascii="Arial" w:eastAsia="Arial" w:hAnsi="Arial" w:cs="Arial"/>
          <w:sz w:val="24"/>
          <w:szCs w:val="24"/>
          <w:lang w:val="en-ID"/>
        </w:rPr>
      </w:pPr>
      <w:r w:rsidRPr="00215231">
        <w:rPr>
          <w:rFonts w:ascii="Arial" w:eastAsia="Arial" w:hAnsi="Arial" w:cs="Arial"/>
          <w:sz w:val="24"/>
          <w:szCs w:val="24"/>
          <w:lang w:val="en-ID"/>
        </w:rPr>
        <w:t xml:space="preserve">From the </w:t>
      </w:r>
      <w:r w:rsidRPr="00215231">
        <w:rPr>
          <w:rFonts w:ascii="Arial" w:eastAsia="Arial" w:hAnsi="Arial" w:cs="Arial"/>
          <w:sz w:val="24"/>
          <w:szCs w:val="24"/>
          <w:lang w:val="en-US"/>
        </w:rPr>
        <w:t>results</w:t>
      </w:r>
      <w:r w:rsidRPr="00215231">
        <w:rPr>
          <w:rFonts w:ascii="Arial" w:eastAsia="Arial" w:hAnsi="Arial" w:cs="Arial"/>
          <w:sz w:val="24"/>
          <w:szCs w:val="24"/>
          <w:lang w:val="en-ID"/>
        </w:rPr>
        <w:t xml:space="preserve"> of descriptive statistical analysis in table 1, it can be explained as follows:</w:t>
      </w:r>
    </w:p>
    <w:p w14:paraId="4A8BCBC4" w14:textId="77777777" w:rsidR="00215231" w:rsidRPr="00215231" w:rsidRDefault="00215231" w:rsidP="00215231">
      <w:pPr>
        <w:widowControl/>
        <w:numPr>
          <w:ilvl w:val="0"/>
          <w:numId w:val="2"/>
        </w:numPr>
        <w:jc w:val="both"/>
        <w:rPr>
          <w:rFonts w:ascii="Arial" w:eastAsia="Arial" w:hAnsi="Arial" w:cs="Arial"/>
          <w:sz w:val="24"/>
          <w:szCs w:val="24"/>
          <w:lang w:val="en-ID"/>
        </w:rPr>
      </w:pPr>
      <w:r w:rsidRPr="00215231">
        <w:rPr>
          <w:rFonts w:ascii="Arial" w:eastAsia="Arial" w:hAnsi="Arial" w:cs="Arial"/>
          <w:sz w:val="24"/>
          <w:szCs w:val="24"/>
          <w:lang w:val="en-ID"/>
        </w:rPr>
        <w:t xml:space="preserve">The </w:t>
      </w:r>
      <w:r w:rsidRPr="00215231">
        <w:rPr>
          <w:rFonts w:ascii="Arial" w:eastAsia="Arial" w:hAnsi="Arial" w:cs="Arial"/>
          <w:sz w:val="24"/>
          <w:szCs w:val="24"/>
        </w:rPr>
        <w:t>minimum</w:t>
      </w:r>
      <w:r w:rsidRPr="00215231">
        <w:rPr>
          <w:rFonts w:ascii="Arial" w:eastAsia="Arial" w:hAnsi="Arial" w:cs="Arial"/>
          <w:sz w:val="24"/>
          <w:szCs w:val="24"/>
          <w:lang w:val="en-ID"/>
        </w:rPr>
        <w:t xml:space="preserve"> CSR value is 0.071 which comes from PT Excel Axiata, Tbk in 2016. Meanwhile, the maximum value of CSR disclosure is 0.915 which comes from PT Indocement Tunggal Perkasa in 2015. On average, the CSR items reported by the company are 0.282 and standard deviation of 0.1459. Data regarding CSR itself is proxied through the number of items reported compared to the total number of items that must be disclosed based on the GRI G4 and GRI Standards 2016 standards. The higher the CSR value a company has, the wider the company's CSR activities and disclosures.</w:t>
      </w:r>
    </w:p>
    <w:p w14:paraId="70150155" w14:textId="77777777" w:rsidR="00215231" w:rsidRPr="00215231" w:rsidRDefault="00215231" w:rsidP="00215231">
      <w:pPr>
        <w:widowControl/>
        <w:numPr>
          <w:ilvl w:val="0"/>
          <w:numId w:val="2"/>
        </w:numPr>
        <w:jc w:val="both"/>
        <w:rPr>
          <w:rFonts w:ascii="Arial" w:eastAsia="Arial" w:hAnsi="Arial" w:cs="Arial"/>
          <w:sz w:val="24"/>
          <w:szCs w:val="24"/>
          <w:lang w:val="en-ID"/>
        </w:rPr>
      </w:pPr>
      <w:r w:rsidRPr="00215231">
        <w:rPr>
          <w:rFonts w:ascii="Arial" w:eastAsia="Arial" w:hAnsi="Arial" w:cs="Arial"/>
          <w:sz w:val="24"/>
          <w:szCs w:val="24"/>
          <w:lang w:val="en-ID"/>
        </w:rPr>
        <w:t xml:space="preserve">The minimum value of Tobin's Q is 0.42 which comes from PT Astra International in 2020. Meanwhile the maximum value of Tobin's Q is 3.11 which comes from </w:t>
      </w:r>
      <w:r w:rsidRPr="00215231">
        <w:rPr>
          <w:rFonts w:ascii="Arial" w:eastAsia="Arial" w:hAnsi="Arial" w:cs="Arial"/>
          <w:sz w:val="24"/>
          <w:szCs w:val="24"/>
          <w:lang w:val="en-ID"/>
        </w:rPr>
        <w:lastRenderedPageBreak/>
        <w:t>PT Indocement Tunggal Perkasa in 2015. The average value of Tobin's Q is 1.264 and the standard deviation is 0.6407. The higher the Tobin's Q value means the greater the company value. This means that investors' appreciation of the company is increasing.</w:t>
      </w:r>
    </w:p>
    <w:p w14:paraId="050684F9" w14:textId="77777777" w:rsidR="00843B67" w:rsidRDefault="00843B67" w:rsidP="00843B67">
      <w:pPr>
        <w:widowControl/>
        <w:jc w:val="both"/>
        <w:rPr>
          <w:rFonts w:ascii="Arial" w:eastAsia="Arial" w:hAnsi="Arial" w:cs="Arial"/>
          <w:sz w:val="24"/>
          <w:szCs w:val="24"/>
        </w:rPr>
      </w:pPr>
    </w:p>
    <w:p w14:paraId="2CD14261" w14:textId="77D3A456" w:rsidR="00471B69" w:rsidRDefault="003E4B13" w:rsidP="003E4B13">
      <w:pPr>
        <w:widowControl/>
        <w:ind w:left="426"/>
        <w:jc w:val="both"/>
        <w:rPr>
          <w:rFonts w:ascii="Arial" w:eastAsia="Arial" w:hAnsi="Arial" w:cs="Arial"/>
          <w:b/>
          <w:sz w:val="24"/>
          <w:szCs w:val="24"/>
          <w:lang w:val="en-US"/>
        </w:rPr>
      </w:pPr>
      <w:r>
        <w:rPr>
          <w:rFonts w:ascii="Arial" w:eastAsia="Arial" w:hAnsi="Arial" w:cs="Arial"/>
          <w:b/>
          <w:sz w:val="24"/>
          <w:szCs w:val="24"/>
          <w:lang w:val="en-US"/>
        </w:rPr>
        <w:t>Normality Test</w:t>
      </w:r>
    </w:p>
    <w:p w14:paraId="0D546B76" w14:textId="77777777" w:rsidR="00576034" w:rsidRDefault="00576034" w:rsidP="003E4B13">
      <w:pPr>
        <w:widowControl/>
        <w:ind w:left="426"/>
        <w:jc w:val="both"/>
        <w:rPr>
          <w:rFonts w:ascii="Arial" w:eastAsia="Arial" w:hAnsi="Arial" w:cs="Arial"/>
          <w:b/>
          <w:sz w:val="24"/>
          <w:szCs w:val="24"/>
          <w:lang w:val="en-US"/>
        </w:rPr>
      </w:pPr>
    </w:p>
    <w:p w14:paraId="4D59A5B8" w14:textId="7990FC8E" w:rsidR="00843B67" w:rsidRPr="00843B67" w:rsidRDefault="00843B67" w:rsidP="00843B67">
      <w:pPr>
        <w:widowControl/>
        <w:ind w:left="426" w:firstLine="567"/>
        <w:jc w:val="center"/>
        <w:rPr>
          <w:rFonts w:ascii="Arial" w:eastAsia="Arial" w:hAnsi="Arial" w:cs="Arial"/>
          <w:b/>
          <w:bCs/>
          <w:sz w:val="24"/>
          <w:szCs w:val="24"/>
          <w:lang w:val="en-US"/>
        </w:rPr>
      </w:pPr>
      <w:r w:rsidRPr="00843B67">
        <w:rPr>
          <w:rFonts w:ascii="Arial" w:eastAsia="Arial" w:hAnsi="Arial" w:cs="Arial"/>
          <w:b/>
          <w:bCs/>
          <w:sz w:val="24"/>
          <w:szCs w:val="24"/>
          <w:lang w:val="en-US"/>
        </w:rPr>
        <w:t>Figure 2. Normalitiy Test</w:t>
      </w:r>
    </w:p>
    <w:p w14:paraId="208DE021" w14:textId="62ECA903" w:rsidR="008F549A" w:rsidRDefault="008F549A" w:rsidP="003E4B13">
      <w:pPr>
        <w:widowControl/>
        <w:ind w:left="426"/>
        <w:jc w:val="both"/>
        <w:rPr>
          <w:rFonts w:ascii="Arial" w:eastAsia="Arial" w:hAnsi="Arial" w:cs="Arial"/>
          <w:b/>
          <w:sz w:val="24"/>
          <w:szCs w:val="24"/>
          <w:lang w:val="en-US"/>
        </w:rPr>
      </w:pPr>
      <w:r w:rsidRPr="0029074C">
        <w:rPr>
          <w:rFonts w:ascii="Times New Roman" w:hAnsi="Times New Roman"/>
          <w:noProof/>
          <w:lang w:val="en-US" w:eastAsia="en-US"/>
        </w:rPr>
        <w:drawing>
          <wp:inline distT="0" distB="0" distL="0" distR="0" wp14:anchorId="7D181468" wp14:editId="09BF3A25">
            <wp:extent cx="4576817" cy="1797269"/>
            <wp:effectExtent l="0" t="0" r="0" b="0"/>
            <wp:docPr id="3" name="Gambar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1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829" cy="1800415"/>
                    </a:xfrm>
                    <a:prstGeom prst="rect">
                      <a:avLst/>
                    </a:prstGeom>
                    <a:noFill/>
                    <a:ln>
                      <a:noFill/>
                    </a:ln>
                  </pic:spPr>
                </pic:pic>
              </a:graphicData>
            </a:graphic>
          </wp:inline>
        </w:drawing>
      </w:r>
    </w:p>
    <w:p w14:paraId="65E831DA" w14:textId="77777777" w:rsidR="004061DB" w:rsidRPr="00215231" w:rsidRDefault="004061DB" w:rsidP="00C162A3">
      <w:pPr>
        <w:widowControl/>
        <w:ind w:left="699" w:firstLine="294"/>
        <w:jc w:val="both"/>
        <w:rPr>
          <w:rFonts w:ascii="Arial" w:eastAsia="Arial" w:hAnsi="Arial" w:cs="Arial"/>
          <w:bCs/>
          <w:sz w:val="24"/>
          <w:szCs w:val="24"/>
          <w:lang w:val="en-US"/>
        </w:rPr>
      </w:pPr>
      <w:r>
        <w:rPr>
          <w:rFonts w:ascii="Arial" w:eastAsia="Arial" w:hAnsi="Arial" w:cs="Arial"/>
          <w:bCs/>
          <w:sz w:val="24"/>
          <w:szCs w:val="24"/>
          <w:lang w:val="en-US"/>
        </w:rPr>
        <w:t>Source: Secondary Data Processed, 2023</w:t>
      </w:r>
    </w:p>
    <w:p w14:paraId="2C1CBF6B" w14:textId="77777777" w:rsidR="004061DB" w:rsidRPr="00471B69" w:rsidRDefault="004061DB" w:rsidP="003E4B13">
      <w:pPr>
        <w:widowControl/>
        <w:ind w:left="426"/>
        <w:jc w:val="both"/>
        <w:rPr>
          <w:rFonts w:ascii="Arial" w:eastAsia="Arial" w:hAnsi="Arial" w:cs="Arial"/>
          <w:b/>
          <w:sz w:val="24"/>
          <w:szCs w:val="24"/>
          <w:lang w:val="en-US"/>
        </w:rPr>
      </w:pPr>
    </w:p>
    <w:p w14:paraId="183E3287" w14:textId="06A10901" w:rsidR="008F549A" w:rsidRDefault="008F549A" w:rsidP="008F549A">
      <w:pPr>
        <w:widowControl/>
        <w:ind w:left="426" w:firstLine="567"/>
        <w:jc w:val="both"/>
        <w:rPr>
          <w:rFonts w:ascii="Arial" w:eastAsia="Arial" w:hAnsi="Arial" w:cs="Arial"/>
          <w:bCs/>
          <w:sz w:val="24"/>
          <w:szCs w:val="24"/>
        </w:rPr>
      </w:pPr>
      <w:r w:rsidRPr="008F549A">
        <w:rPr>
          <w:rFonts w:ascii="Arial" w:eastAsia="Arial" w:hAnsi="Arial" w:cs="Arial"/>
          <w:bCs/>
          <w:sz w:val="24"/>
          <w:szCs w:val="24"/>
        </w:rPr>
        <w:t>From the results of statistical tests on the residuals above, it is known that the Jarque-Bera value is 4.835825 with a P-Value of 0.089107 &gt; 0.05. This means that the data in the regression model is normally distributed.</w:t>
      </w:r>
    </w:p>
    <w:p w14:paraId="6AE31B9D" w14:textId="77777777" w:rsidR="00C162A3" w:rsidRDefault="00C162A3" w:rsidP="008F549A">
      <w:pPr>
        <w:widowControl/>
        <w:ind w:left="426" w:firstLine="567"/>
        <w:jc w:val="both"/>
        <w:rPr>
          <w:rFonts w:ascii="Arial" w:eastAsia="Arial" w:hAnsi="Arial" w:cs="Arial"/>
          <w:bCs/>
          <w:sz w:val="24"/>
          <w:szCs w:val="24"/>
        </w:rPr>
      </w:pPr>
    </w:p>
    <w:p w14:paraId="5B0C3EAE" w14:textId="05819908" w:rsidR="008F549A" w:rsidRDefault="008F549A" w:rsidP="008F549A">
      <w:pPr>
        <w:widowControl/>
        <w:ind w:left="426"/>
        <w:jc w:val="both"/>
        <w:rPr>
          <w:rFonts w:ascii="Arial" w:eastAsia="Arial" w:hAnsi="Arial" w:cs="Arial"/>
          <w:b/>
          <w:sz w:val="24"/>
          <w:szCs w:val="24"/>
          <w:lang w:val="en-US"/>
        </w:rPr>
      </w:pPr>
      <w:r>
        <w:rPr>
          <w:rFonts w:ascii="Arial" w:eastAsia="Arial" w:hAnsi="Arial" w:cs="Arial"/>
          <w:b/>
          <w:sz w:val="24"/>
          <w:szCs w:val="24"/>
          <w:lang w:val="en-US"/>
        </w:rPr>
        <w:t>Multicolinearity Test</w:t>
      </w:r>
    </w:p>
    <w:p w14:paraId="19EC0714" w14:textId="159D4069" w:rsidR="00B11071" w:rsidRDefault="00B11071" w:rsidP="00B11071">
      <w:pPr>
        <w:widowControl/>
        <w:ind w:left="426" w:firstLine="567"/>
        <w:jc w:val="both"/>
        <w:rPr>
          <w:rFonts w:ascii="Arial" w:eastAsia="Arial" w:hAnsi="Arial" w:cs="Arial"/>
          <w:bCs/>
          <w:sz w:val="24"/>
          <w:szCs w:val="24"/>
        </w:rPr>
      </w:pPr>
      <w:r w:rsidRPr="00B11071">
        <w:rPr>
          <w:rFonts w:ascii="Arial" w:eastAsia="Arial" w:hAnsi="Arial" w:cs="Arial"/>
          <w:bCs/>
          <w:sz w:val="24"/>
          <w:szCs w:val="24"/>
        </w:rPr>
        <w:t>This research does not require a multicollinearity test because the independent variable in the research only consists of one independent variable.</w:t>
      </w:r>
    </w:p>
    <w:p w14:paraId="4CBCB384" w14:textId="77777777" w:rsidR="00E6743A" w:rsidRPr="00B11071" w:rsidRDefault="00E6743A" w:rsidP="00B11071">
      <w:pPr>
        <w:widowControl/>
        <w:ind w:left="426" w:firstLine="567"/>
        <w:jc w:val="both"/>
        <w:rPr>
          <w:rFonts w:ascii="Arial" w:eastAsia="Arial" w:hAnsi="Arial" w:cs="Arial"/>
          <w:bCs/>
          <w:sz w:val="24"/>
          <w:szCs w:val="24"/>
        </w:rPr>
      </w:pPr>
    </w:p>
    <w:p w14:paraId="35DBAC8E" w14:textId="7E3FB1B5" w:rsidR="00B11071" w:rsidRDefault="00B11071" w:rsidP="00B11071">
      <w:pPr>
        <w:widowControl/>
        <w:ind w:left="426"/>
        <w:jc w:val="both"/>
        <w:rPr>
          <w:rFonts w:ascii="Arial" w:eastAsia="Arial" w:hAnsi="Arial" w:cs="Arial"/>
          <w:b/>
          <w:sz w:val="24"/>
          <w:szCs w:val="24"/>
          <w:lang w:val="en-US"/>
        </w:rPr>
      </w:pPr>
      <w:r>
        <w:rPr>
          <w:rFonts w:ascii="Arial" w:eastAsia="Arial" w:hAnsi="Arial" w:cs="Arial"/>
          <w:b/>
          <w:sz w:val="24"/>
          <w:szCs w:val="24"/>
          <w:lang w:val="en-US"/>
        </w:rPr>
        <w:t>Heteroscedasticity Test</w:t>
      </w:r>
    </w:p>
    <w:p w14:paraId="6C915607" w14:textId="77777777" w:rsidR="00E6743A" w:rsidRDefault="00E6743A" w:rsidP="00B11071">
      <w:pPr>
        <w:widowControl/>
        <w:ind w:left="426"/>
        <w:jc w:val="both"/>
        <w:rPr>
          <w:rFonts w:ascii="Arial" w:eastAsia="Arial" w:hAnsi="Arial" w:cs="Arial"/>
          <w:b/>
          <w:sz w:val="24"/>
          <w:szCs w:val="24"/>
          <w:lang w:val="en-US"/>
        </w:rPr>
      </w:pPr>
    </w:p>
    <w:p w14:paraId="0B0F906F" w14:textId="6ECCE99C" w:rsidR="00843B67" w:rsidRPr="00843B67" w:rsidRDefault="00843B67" w:rsidP="00843B67">
      <w:pPr>
        <w:widowControl/>
        <w:ind w:left="426" w:firstLine="567"/>
        <w:jc w:val="center"/>
        <w:rPr>
          <w:rFonts w:ascii="Arial" w:eastAsia="Arial" w:hAnsi="Arial" w:cs="Arial"/>
          <w:b/>
          <w:bCs/>
          <w:sz w:val="24"/>
          <w:szCs w:val="24"/>
          <w:lang w:val="en-US"/>
        </w:rPr>
      </w:pPr>
      <w:r w:rsidRPr="00843B67">
        <w:rPr>
          <w:rFonts w:ascii="Arial" w:eastAsia="Arial" w:hAnsi="Arial" w:cs="Arial"/>
          <w:b/>
          <w:bCs/>
          <w:sz w:val="24"/>
          <w:szCs w:val="24"/>
          <w:lang w:val="en-US"/>
        </w:rPr>
        <w:t>Figure 3. Heteroscedasticity Test</w:t>
      </w:r>
    </w:p>
    <w:p w14:paraId="53F437C4" w14:textId="17CD6B10" w:rsidR="008F549A" w:rsidRDefault="00411EE1" w:rsidP="008F549A">
      <w:pPr>
        <w:widowControl/>
        <w:ind w:left="426" w:firstLine="567"/>
        <w:jc w:val="both"/>
        <w:rPr>
          <w:rFonts w:ascii="Arial" w:eastAsia="Arial" w:hAnsi="Arial" w:cs="Arial"/>
          <w:bCs/>
          <w:sz w:val="24"/>
          <w:szCs w:val="24"/>
        </w:rPr>
      </w:pPr>
      <w:r w:rsidRPr="0027685A">
        <w:rPr>
          <w:rFonts w:cs="Arial"/>
          <w:b/>
          <w:noProof/>
          <w:lang w:val="en-US" w:eastAsia="en-US"/>
        </w:rPr>
        <w:drawing>
          <wp:inline distT="0" distB="0" distL="0" distR="0" wp14:anchorId="13BFA2AE" wp14:editId="3060A4DA">
            <wp:extent cx="4885121" cy="698500"/>
            <wp:effectExtent l="0" t="0" r="0" b="0"/>
            <wp:docPr id="4"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6739" cy="700161"/>
                    </a:xfrm>
                    <a:prstGeom prst="rect">
                      <a:avLst/>
                    </a:prstGeom>
                    <a:noFill/>
                    <a:ln>
                      <a:noFill/>
                    </a:ln>
                  </pic:spPr>
                </pic:pic>
              </a:graphicData>
            </a:graphic>
          </wp:inline>
        </w:drawing>
      </w:r>
    </w:p>
    <w:p w14:paraId="5D2FC26C" w14:textId="77777777" w:rsidR="004061DB" w:rsidRPr="00215231" w:rsidRDefault="004061DB" w:rsidP="00C162A3">
      <w:pPr>
        <w:widowControl/>
        <w:ind w:left="1866" w:firstLine="294"/>
        <w:jc w:val="both"/>
        <w:rPr>
          <w:rFonts w:ascii="Arial" w:eastAsia="Arial" w:hAnsi="Arial" w:cs="Arial"/>
          <w:bCs/>
          <w:sz w:val="24"/>
          <w:szCs w:val="24"/>
          <w:lang w:val="en-US"/>
        </w:rPr>
      </w:pPr>
      <w:r>
        <w:rPr>
          <w:rFonts w:ascii="Arial" w:eastAsia="Arial" w:hAnsi="Arial" w:cs="Arial"/>
          <w:bCs/>
          <w:sz w:val="24"/>
          <w:szCs w:val="24"/>
          <w:lang w:val="en-US"/>
        </w:rPr>
        <w:t>Source: Secondary Data Processed, 2023</w:t>
      </w:r>
    </w:p>
    <w:p w14:paraId="3E9109BF" w14:textId="77777777" w:rsidR="004061DB" w:rsidRDefault="004061DB" w:rsidP="008F549A">
      <w:pPr>
        <w:widowControl/>
        <w:ind w:left="426" w:firstLine="567"/>
        <w:jc w:val="both"/>
        <w:rPr>
          <w:rFonts w:ascii="Arial" w:eastAsia="Arial" w:hAnsi="Arial" w:cs="Arial"/>
          <w:bCs/>
          <w:sz w:val="24"/>
          <w:szCs w:val="24"/>
        </w:rPr>
      </w:pPr>
    </w:p>
    <w:p w14:paraId="552B5787" w14:textId="1E9E2C54" w:rsidR="00411EE1" w:rsidRDefault="00411EE1" w:rsidP="00411EE1">
      <w:pPr>
        <w:widowControl/>
        <w:ind w:left="426" w:firstLine="567"/>
        <w:jc w:val="both"/>
        <w:rPr>
          <w:rFonts w:ascii="Arial" w:eastAsia="Arial" w:hAnsi="Arial" w:cs="Arial"/>
          <w:bCs/>
          <w:sz w:val="24"/>
          <w:szCs w:val="24"/>
        </w:rPr>
      </w:pPr>
      <w:r w:rsidRPr="00411EE1">
        <w:rPr>
          <w:rFonts w:ascii="Arial" w:eastAsia="Arial" w:hAnsi="Arial" w:cs="Arial"/>
          <w:bCs/>
          <w:sz w:val="24"/>
          <w:szCs w:val="24"/>
        </w:rPr>
        <w:t>The statistical test results show that the significance value of the independent variable (X) is 0.1832 &gt; 0.05. This shows that there is no heteroscedasticity problem in the regression model.</w:t>
      </w:r>
    </w:p>
    <w:p w14:paraId="351747A4" w14:textId="77777777" w:rsidR="00E6743A" w:rsidRPr="00411EE1" w:rsidRDefault="00E6743A" w:rsidP="00411EE1">
      <w:pPr>
        <w:widowControl/>
        <w:ind w:left="426" w:firstLine="567"/>
        <w:jc w:val="both"/>
        <w:rPr>
          <w:rFonts w:ascii="Arial" w:eastAsia="Arial" w:hAnsi="Arial" w:cs="Arial"/>
          <w:bCs/>
          <w:sz w:val="24"/>
          <w:szCs w:val="24"/>
        </w:rPr>
      </w:pPr>
    </w:p>
    <w:p w14:paraId="4F6F4ED4" w14:textId="34464B3D" w:rsidR="00411EE1" w:rsidRDefault="00411EE1" w:rsidP="00411EE1">
      <w:pPr>
        <w:widowControl/>
        <w:ind w:left="426"/>
        <w:jc w:val="both"/>
        <w:rPr>
          <w:rFonts w:ascii="Arial" w:eastAsia="Arial" w:hAnsi="Arial" w:cs="Arial"/>
          <w:b/>
          <w:sz w:val="24"/>
          <w:szCs w:val="24"/>
          <w:lang w:val="en-US"/>
        </w:rPr>
      </w:pPr>
      <w:r>
        <w:rPr>
          <w:rFonts w:ascii="Arial" w:eastAsia="Arial" w:hAnsi="Arial" w:cs="Arial"/>
          <w:b/>
          <w:sz w:val="24"/>
          <w:szCs w:val="24"/>
          <w:lang w:val="en-US"/>
        </w:rPr>
        <w:t>Autocorrelation Test</w:t>
      </w:r>
    </w:p>
    <w:p w14:paraId="4EAE741F" w14:textId="59243019" w:rsidR="00495BC9" w:rsidRDefault="00495BC9" w:rsidP="00495BC9">
      <w:pPr>
        <w:widowControl/>
        <w:ind w:left="426" w:firstLine="567"/>
        <w:jc w:val="both"/>
        <w:rPr>
          <w:rFonts w:ascii="Arial" w:eastAsia="Arial" w:hAnsi="Arial" w:cs="Arial"/>
          <w:bCs/>
          <w:sz w:val="24"/>
          <w:szCs w:val="24"/>
        </w:rPr>
      </w:pPr>
      <w:r w:rsidRPr="00495BC9">
        <w:rPr>
          <w:rFonts w:ascii="Arial" w:eastAsia="Arial" w:hAnsi="Arial" w:cs="Arial"/>
          <w:bCs/>
          <w:sz w:val="24"/>
          <w:szCs w:val="24"/>
        </w:rPr>
        <w:t>Research with panel data</w:t>
      </w:r>
      <w:r w:rsidRPr="00495BC9">
        <w:rPr>
          <w:rFonts w:ascii="Arial" w:eastAsia="Arial" w:hAnsi="Arial" w:cs="Arial"/>
          <w:bCs/>
          <w:sz w:val="24"/>
          <w:szCs w:val="24"/>
          <w:lang w:val="en-US"/>
        </w:rPr>
        <w:t xml:space="preserve"> form</w:t>
      </w:r>
      <w:r w:rsidRPr="00495BC9">
        <w:rPr>
          <w:rFonts w:ascii="Arial" w:eastAsia="Arial" w:hAnsi="Arial" w:cs="Arial"/>
          <w:bCs/>
          <w:sz w:val="24"/>
          <w:szCs w:val="24"/>
        </w:rPr>
        <w:t xml:space="preserve"> does not require an autocorrelation test, so in this study an autocorrelation test is not needed. This is in accordance with the provisions that hypothesis testing with a fixed effect model does not require an autocorrelation test. The autocorrelation test is needed in research with time series data.</w:t>
      </w:r>
    </w:p>
    <w:p w14:paraId="5C5620E6" w14:textId="6F38EE05" w:rsidR="00E6743A" w:rsidRDefault="00E6743A" w:rsidP="00495BC9">
      <w:pPr>
        <w:widowControl/>
        <w:ind w:left="426" w:firstLine="567"/>
        <w:jc w:val="both"/>
        <w:rPr>
          <w:rFonts w:ascii="Arial" w:eastAsia="Arial" w:hAnsi="Arial" w:cs="Arial"/>
          <w:bCs/>
          <w:sz w:val="24"/>
          <w:szCs w:val="24"/>
        </w:rPr>
      </w:pPr>
    </w:p>
    <w:p w14:paraId="7610272E" w14:textId="64BC092B" w:rsidR="00E6743A" w:rsidRDefault="00E6743A" w:rsidP="00495BC9">
      <w:pPr>
        <w:widowControl/>
        <w:ind w:left="426" w:firstLine="567"/>
        <w:jc w:val="both"/>
        <w:rPr>
          <w:rFonts w:ascii="Arial" w:eastAsia="Arial" w:hAnsi="Arial" w:cs="Arial"/>
          <w:bCs/>
          <w:sz w:val="24"/>
          <w:szCs w:val="24"/>
        </w:rPr>
      </w:pPr>
    </w:p>
    <w:p w14:paraId="1CB8A165" w14:textId="7214734F" w:rsidR="00E6743A" w:rsidRDefault="00E6743A" w:rsidP="00495BC9">
      <w:pPr>
        <w:widowControl/>
        <w:ind w:left="426" w:firstLine="567"/>
        <w:jc w:val="both"/>
        <w:rPr>
          <w:rFonts w:ascii="Arial" w:eastAsia="Arial" w:hAnsi="Arial" w:cs="Arial"/>
          <w:bCs/>
          <w:sz w:val="24"/>
          <w:szCs w:val="24"/>
        </w:rPr>
      </w:pPr>
    </w:p>
    <w:p w14:paraId="159892D1" w14:textId="19450BCF" w:rsidR="00E6743A" w:rsidRDefault="00E6743A" w:rsidP="00495BC9">
      <w:pPr>
        <w:widowControl/>
        <w:ind w:left="426" w:firstLine="567"/>
        <w:jc w:val="both"/>
        <w:rPr>
          <w:rFonts w:ascii="Arial" w:eastAsia="Arial" w:hAnsi="Arial" w:cs="Arial"/>
          <w:bCs/>
          <w:sz w:val="24"/>
          <w:szCs w:val="24"/>
        </w:rPr>
      </w:pPr>
    </w:p>
    <w:p w14:paraId="08E2BA4D" w14:textId="77777777" w:rsidR="00E6743A" w:rsidRPr="00495BC9" w:rsidRDefault="00E6743A" w:rsidP="00495BC9">
      <w:pPr>
        <w:widowControl/>
        <w:ind w:left="426" w:firstLine="567"/>
        <w:jc w:val="both"/>
        <w:rPr>
          <w:rFonts w:ascii="Arial" w:eastAsia="Arial" w:hAnsi="Arial" w:cs="Arial"/>
          <w:bCs/>
          <w:sz w:val="24"/>
          <w:szCs w:val="24"/>
        </w:rPr>
      </w:pPr>
    </w:p>
    <w:p w14:paraId="1388AE91" w14:textId="7D11D4FD" w:rsidR="00B61A61" w:rsidRDefault="00B61A61" w:rsidP="00B61A61">
      <w:pPr>
        <w:widowControl/>
        <w:ind w:left="426"/>
        <w:jc w:val="both"/>
        <w:rPr>
          <w:rFonts w:ascii="Arial" w:eastAsia="Arial" w:hAnsi="Arial" w:cs="Arial"/>
          <w:b/>
          <w:sz w:val="24"/>
          <w:szCs w:val="24"/>
          <w:lang w:val="en-US"/>
        </w:rPr>
      </w:pPr>
      <w:r>
        <w:rPr>
          <w:rFonts w:ascii="Arial" w:eastAsia="Arial" w:hAnsi="Arial" w:cs="Arial"/>
          <w:b/>
          <w:sz w:val="24"/>
          <w:szCs w:val="24"/>
          <w:lang w:val="en-US"/>
        </w:rPr>
        <w:lastRenderedPageBreak/>
        <w:t>Model Test</w:t>
      </w:r>
    </w:p>
    <w:p w14:paraId="3024F6E1" w14:textId="77777777" w:rsidR="00E6743A" w:rsidRDefault="00E6743A" w:rsidP="00B61A61">
      <w:pPr>
        <w:widowControl/>
        <w:ind w:left="426"/>
        <w:jc w:val="both"/>
        <w:rPr>
          <w:rFonts w:ascii="Arial" w:eastAsia="Arial" w:hAnsi="Arial" w:cs="Arial"/>
          <w:b/>
          <w:sz w:val="24"/>
          <w:szCs w:val="24"/>
          <w:lang w:val="en-US"/>
        </w:rPr>
      </w:pPr>
    </w:p>
    <w:p w14:paraId="54B5D0A7" w14:textId="40B431E4" w:rsidR="002819C8" w:rsidRDefault="002819C8" w:rsidP="002819C8">
      <w:pPr>
        <w:widowControl/>
        <w:ind w:left="426"/>
        <w:jc w:val="both"/>
        <w:rPr>
          <w:rFonts w:ascii="Arial" w:eastAsia="Arial" w:hAnsi="Arial" w:cs="Arial"/>
          <w:b/>
          <w:sz w:val="24"/>
          <w:szCs w:val="24"/>
          <w:lang w:val="en-US"/>
        </w:rPr>
      </w:pPr>
      <w:r>
        <w:rPr>
          <w:rFonts w:ascii="Arial" w:eastAsia="Arial" w:hAnsi="Arial" w:cs="Arial"/>
          <w:b/>
          <w:sz w:val="24"/>
          <w:szCs w:val="24"/>
          <w:lang w:val="en-US"/>
        </w:rPr>
        <w:t>Chow Test</w:t>
      </w:r>
    </w:p>
    <w:p w14:paraId="5BEACD8B" w14:textId="77777777" w:rsidR="00E6743A" w:rsidRDefault="00E6743A" w:rsidP="002819C8">
      <w:pPr>
        <w:widowControl/>
        <w:ind w:left="426"/>
        <w:jc w:val="both"/>
        <w:rPr>
          <w:rFonts w:ascii="Arial" w:eastAsia="Arial" w:hAnsi="Arial" w:cs="Arial"/>
          <w:b/>
          <w:sz w:val="24"/>
          <w:szCs w:val="24"/>
          <w:lang w:val="en-US"/>
        </w:rPr>
      </w:pPr>
    </w:p>
    <w:p w14:paraId="78965643" w14:textId="1E111920" w:rsidR="00843B67" w:rsidRPr="00843B67" w:rsidRDefault="00843B67" w:rsidP="00843B67">
      <w:pPr>
        <w:widowControl/>
        <w:ind w:left="426" w:firstLine="567"/>
        <w:jc w:val="center"/>
        <w:rPr>
          <w:rFonts w:ascii="Arial" w:eastAsia="Arial" w:hAnsi="Arial" w:cs="Arial"/>
          <w:b/>
          <w:bCs/>
          <w:sz w:val="24"/>
          <w:szCs w:val="24"/>
          <w:lang w:val="en-US"/>
        </w:rPr>
      </w:pPr>
      <w:r w:rsidRPr="00843B67">
        <w:rPr>
          <w:rFonts w:ascii="Arial" w:eastAsia="Arial" w:hAnsi="Arial" w:cs="Arial"/>
          <w:b/>
          <w:bCs/>
          <w:sz w:val="24"/>
          <w:szCs w:val="24"/>
          <w:lang w:val="en-US"/>
        </w:rPr>
        <w:t>Table 3. Chow Test</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404"/>
        <w:gridCol w:w="1283"/>
      </w:tblGrid>
      <w:tr w:rsidR="00AE058A" w:rsidRPr="0029074C" w14:paraId="7A8CA4BB" w14:textId="77777777" w:rsidTr="00E6743A">
        <w:tc>
          <w:tcPr>
            <w:tcW w:w="3964" w:type="dxa"/>
            <w:shd w:val="clear" w:color="auto" w:fill="auto"/>
          </w:tcPr>
          <w:p w14:paraId="08EFEE45" w14:textId="77777777" w:rsidR="00AE058A" w:rsidRPr="00C65D6E" w:rsidRDefault="00AE058A" w:rsidP="00D8467B">
            <w:pPr>
              <w:shd w:val="clear" w:color="auto" w:fill="FFFFFF"/>
              <w:rPr>
                <w:rFonts w:cs="Arial"/>
                <w:b/>
                <w:bCs/>
                <w:lang w:eastAsia="ja-JP"/>
              </w:rPr>
            </w:pPr>
            <w:r w:rsidRPr="00C65D6E">
              <w:rPr>
                <w:rFonts w:cs="Arial"/>
                <w:b/>
                <w:bCs/>
                <w:lang w:eastAsia="ja-JP"/>
              </w:rPr>
              <w:t>Effect Test</w:t>
            </w:r>
          </w:p>
        </w:tc>
        <w:tc>
          <w:tcPr>
            <w:tcW w:w="1404" w:type="dxa"/>
            <w:shd w:val="clear" w:color="auto" w:fill="auto"/>
          </w:tcPr>
          <w:p w14:paraId="77949405" w14:textId="77777777" w:rsidR="00AE058A" w:rsidRPr="00C65D6E" w:rsidRDefault="00AE058A" w:rsidP="00D8467B">
            <w:pPr>
              <w:shd w:val="clear" w:color="auto" w:fill="FFFFFF"/>
              <w:rPr>
                <w:rFonts w:cs="Arial"/>
                <w:b/>
                <w:bCs/>
                <w:lang w:eastAsia="ja-JP"/>
              </w:rPr>
            </w:pPr>
            <w:r w:rsidRPr="00C65D6E">
              <w:rPr>
                <w:rFonts w:cs="Arial"/>
                <w:b/>
                <w:bCs/>
                <w:lang w:eastAsia="ja-JP"/>
              </w:rPr>
              <w:t xml:space="preserve">Statistic </w:t>
            </w:r>
          </w:p>
        </w:tc>
        <w:tc>
          <w:tcPr>
            <w:tcW w:w="1283" w:type="dxa"/>
            <w:shd w:val="clear" w:color="auto" w:fill="auto"/>
          </w:tcPr>
          <w:p w14:paraId="19FF848C" w14:textId="77777777" w:rsidR="00AE058A" w:rsidRPr="00C65D6E" w:rsidRDefault="00AE058A" w:rsidP="00D8467B">
            <w:pPr>
              <w:shd w:val="clear" w:color="auto" w:fill="FFFFFF"/>
              <w:rPr>
                <w:rFonts w:cs="Arial"/>
                <w:b/>
                <w:bCs/>
                <w:lang w:eastAsia="ja-JP"/>
              </w:rPr>
            </w:pPr>
            <w:r w:rsidRPr="00C65D6E">
              <w:rPr>
                <w:rFonts w:cs="Arial"/>
                <w:b/>
                <w:bCs/>
                <w:lang w:eastAsia="ja-JP"/>
              </w:rPr>
              <w:t>Probability</w:t>
            </w:r>
          </w:p>
        </w:tc>
      </w:tr>
      <w:tr w:rsidR="00AE058A" w:rsidRPr="0029074C" w14:paraId="78DD3C09" w14:textId="77777777" w:rsidTr="00E6743A">
        <w:tc>
          <w:tcPr>
            <w:tcW w:w="3964" w:type="dxa"/>
            <w:shd w:val="clear" w:color="auto" w:fill="auto"/>
          </w:tcPr>
          <w:p w14:paraId="00988AC8" w14:textId="77777777" w:rsidR="00AE058A" w:rsidRPr="00C54038" w:rsidRDefault="00AE058A" w:rsidP="00D8467B">
            <w:pPr>
              <w:shd w:val="clear" w:color="auto" w:fill="FFFFFF"/>
              <w:rPr>
                <w:rFonts w:cs="Arial"/>
                <w:lang w:eastAsia="ja-JP"/>
              </w:rPr>
            </w:pPr>
            <w:r w:rsidRPr="00C54038">
              <w:rPr>
                <w:rFonts w:cs="Arial"/>
                <w:lang w:eastAsia="ja-JP"/>
              </w:rPr>
              <w:t>Cross-Section F</w:t>
            </w:r>
          </w:p>
        </w:tc>
        <w:tc>
          <w:tcPr>
            <w:tcW w:w="1404" w:type="dxa"/>
            <w:shd w:val="clear" w:color="auto" w:fill="auto"/>
          </w:tcPr>
          <w:p w14:paraId="7710BD0C" w14:textId="77777777" w:rsidR="00AE058A" w:rsidRPr="00C54038" w:rsidRDefault="00AE058A" w:rsidP="00D8467B">
            <w:pPr>
              <w:shd w:val="clear" w:color="auto" w:fill="FFFFFF"/>
              <w:rPr>
                <w:rFonts w:cs="Arial"/>
                <w:lang w:eastAsia="ja-JP"/>
              </w:rPr>
            </w:pPr>
            <w:r w:rsidRPr="00C54038">
              <w:rPr>
                <w:rFonts w:cs="Arial"/>
                <w:lang w:eastAsia="ja-JP"/>
              </w:rPr>
              <w:t>12.191992</w:t>
            </w:r>
          </w:p>
        </w:tc>
        <w:tc>
          <w:tcPr>
            <w:tcW w:w="1283" w:type="dxa"/>
            <w:shd w:val="clear" w:color="auto" w:fill="auto"/>
          </w:tcPr>
          <w:p w14:paraId="58315D82" w14:textId="77777777" w:rsidR="00AE058A" w:rsidRPr="00C54038" w:rsidRDefault="00AE058A" w:rsidP="00D8467B">
            <w:pPr>
              <w:shd w:val="clear" w:color="auto" w:fill="FFFFFF"/>
              <w:rPr>
                <w:rFonts w:cs="Arial"/>
                <w:lang w:eastAsia="ja-JP"/>
              </w:rPr>
            </w:pPr>
            <w:r w:rsidRPr="00C54038">
              <w:rPr>
                <w:rFonts w:cs="Arial"/>
                <w:lang w:eastAsia="ja-JP"/>
              </w:rPr>
              <w:t>0.0000</w:t>
            </w:r>
          </w:p>
        </w:tc>
      </w:tr>
      <w:tr w:rsidR="00AE058A" w:rsidRPr="0029074C" w14:paraId="5E7008F4" w14:textId="77777777" w:rsidTr="00E6743A">
        <w:tc>
          <w:tcPr>
            <w:tcW w:w="3964" w:type="dxa"/>
            <w:shd w:val="clear" w:color="auto" w:fill="auto"/>
          </w:tcPr>
          <w:p w14:paraId="5A55101E" w14:textId="77777777" w:rsidR="00AE058A" w:rsidRPr="00C54038" w:rsidRDefault="00AE058A" w:rsidP="00D8467B">
            <w:pPr>
              <w:shd w:val="clear" w:color="auto" w:fill="FFFFFF"/>
              <w:rPr>
                <w:rFonts w:cs="Arial"/>
                <w:lang w:eastAsia="ja-JP"/>
              </w:rPr>
            </w:pPr>
            <w:r w:rsidRPr="00C54038">
              <w:rPr>
                <w:rFonts w:cs="Arial"/>
                <w:lang w:eastAsia="ja-JP"/>
              </w:rPr>
              <w:t>Cross-Section Chi-Square</w:t>
            </w:r>
          </w:p>
        </w:tc>
        <w:tc>
          <w:tcPr>
            <w:tcW w:w="1404" w:type="dxa"/>
            <w:shd w:val="clear" w:color="auto" w:fill="auto"/>
          </w:tcPr>
          <w:p w14:paraId="0C5829A4" w14:textId="77777777" w:rsidR="00AE058A" w:rsidRPr="00C54038" w:rsidRDefault="00AE058A" w:rsidP="00D8467B">
            <w:pPr>
              <w:shd w:val="clear" w:color="auto" w:fill="FFFFFF"/>
              <w:rPr>
                <w:rFonts w:cs="Arial"/>
                <w:lang w:eastAsia="ja-JP"/>
              </w:rPr>
            </w:pPr>
            <w:r w:rsidRPr="00C54038">
              <w:rPr>
                <w:rFonts w:cs="Arial"/>
                <w:lang w:eastAsia="ja-JP"/>
              </w:rPr>
              <w:t>70.522276</w:t>
            </w:r>
          </w:p>
        </w:tc>
        <w:tc>
          <w:tcPr>
            <w:tcW w:w="1283" w:type="dxa"/>
            <w:shd w:val="clear" w:color="auto" w:fill="auto"/>
          </w:tcPr>
          <w:p w14:paraId="2D422AC8" w14:textId="77777777" w:rsidR="00AE058A" w:rsidRPr="00C54038" w:rsidRDefault="00AE058A" w:rsidP="00D8467B">
            <w:pPr>
              <w:shd w:val="clear" w:color="auto" w:fill="FFFFFF"/>
              <w:rPr>
                <w:rFonts w:cs="Arial"/>
                <w:lang w:eastAsia="ja-JP"/>
              </w:rPr>
            </w:pPr>
            <w:r w:rsidRPr="00C54038">
              <w:rPr>
                <w:rFonts w:cs="Arial"/>
                <w:lang w:eastAsia="ja-JP"/>
              </w:rPr>
              <w:t>0.000</w:t>
            </w:r>
          </w:p>
        </w:tc>
      </w:tr>
    </w:tbl>
    <w:p w14:paraId="4E920B7C" w14:textId="77777777" w:rsidR="004061DB" w:rsidRPr="00215231" w:rsidRDefault="004061DB" w:rsidP="004061DB">
      <w:pPr>
        <w:widowControl/>
        <w:ind w:left="426"/>
        <w:jc w:val="both"/>
        <w:rPr>
          <w:rFonts w:ascii="Arial" w:eastAsia="Arial" w:hAnsi="Arial" w:cs="Arial"/>
          <w:bCs/>
          <w:sz w:val="24"/>
          <w:szCs w:val="24"/>
          <w:lang w:val="en-US"/>
        </w:rPr>
      </w:pPr>
      <w:r>
        <w:rPr>
          <w:rFonts w:ascii="Arial" w:eastAsia="Arial" w:hAnsi="Arial" w:cs="Arial"/>
          <w:bCs/>
          <w:sz w:val="24"/>
          <w:szCs w:val="24"/>
          <w:lang w:val="en-US"/>
        </w:rPr>
        <w:t>Source: Secondary Data Processed, 2023</w:t>
      </w:r>
    </w:p>
    <w:p w14:paraId="313A41E5" w14:textId="77777777" w:rsidR="00411EE1" w:rsidRPr="008F549A" w:rsidRDefault="00411EE1" w:rsidP="008F549A">
      <w:pPr>
        <w:widowControl/>
        <w:ind w:left="426" w:firstLine="567"/>
        <w:jc w:val="both"/>
        <w:rPr>
          <w:rFonts w:ascii="Arial" w:eastAsia="Arial" w:hAnsi="Arial" w:cs="Arial"/>
          <w:bCs/>
          <w:sz w:val="24"/>
          <w:szCs w:val="24"/>
        </w:rPr>
      </w:pPr>
    </w:p>
    <w:p w14:paraId="1B6A1EFF" w14:textId="151FF114" w:rsidR="00AE058A" w:rsidRDefault="00AE058A" w:rsidP="00AE058A">
      <w:pPr>
        <w:widowControl/>
        <w:ind w:left="426" w:firstLine="567"/>
        <w:jc w:val="both"/>
        <w:rPr>
          <w:rFonts w:ascii="Arial" w:eastAsia="Arial" w:hAnsi="Arial" w:cs="Arial"/>
          <w:bCs/>
          <w:sz w:val="24"/>
          <w:szCs w:val="24"/>
        </w:rPr>
      </w:pPr>
      <w:r w:rsidRPr="00AE058A">
        <w:rPr>
          <w:rFonts w:ascii="Arial" w:eastAsia="Arial" w:hAnsi="Arial" w:cs="Arial"/>
          <w:bCs/>
          <w:sz w:val="24"/>
          <w:szCs w:val="24"/>
        </w:rPr>
        <w:t>Based on the Chow test above, it was found that the p value was 0.000 &lt; 0.05. This shows that the fixed effect model (FEM) is better than the common effect model (CEM), so it requires the Hausmann test to compare the fixed effect model (FEM) and the random effect model (REM).</w:t>
      </w:r>
    </w:p>
    <w:p w14:paraId="05704FDB" w14:textId="77777777" w:rsidR="00E6743A" w:rsidRPr="00AE058A" w:rsidRDefault="00E6743A" w:rsidP="00AE058A">
      <w:pPr>
        <w:widowControl/>
        <w:ind w:left="426" w:firstLine="567"/>
        <w:jc w:val="both"/>
        <w:rPr>
          <w:rFonts w:ascii="Arial" w:eastAsia="Arial" w:hAnsi="Arial" w:cs="Arial"/>
          <w:bCs/>
          <w:sz w:val="24"/>
          <w:szCs w:val="24"/>
        </w:rPr>
      </w:pPr>
    </w:p>
    <w:p w14:paraId="1A0D4DE4" w14:textId="59DC45E8" w:rsidR="005A2AB9" w:rsidRDefault="005A2AB9" w:rsidP="005A2AB9">
      <w:pPr>
        <w:widowControl/>
        <w:ind w:left="426"/>
        <w:jc w:val="both"/>
        <w:rPr>
          <w:rFonts w:ascii="Arial" w:eastAsia="Arial" w:hAnsi="Arial" w:cs="Arial"/>
          <w:b/>
          <w:sz w:val="24"/>
          <w:szCs w:val="24"/>
          <w:lang w:val="en-US"/>
        </w:rPr>
      </w:pPr>
      <w:r>
        <w:rPr>
          <w:rFonts w:ascii="Arial" w:eastAsia="Arial" w:hAnsi="Arial" w:cs="Arial"/>
          <w:b/>
          <w:sz w:val="24"/>
          <w:szCs w:val="24"/>
          <w:lang w:val="en-US"/>
        </w:rPr>
        <w:t>Hausmann Test</w:t>
      </w:r>
    </w:p>
    <w:p w14:paraId="7272AB25" w14:textId="77777777" w:rsidR="00E6743A" w:rsidRDefault="00E6743A" w:rsidP="005A2AB9">
      <w:pPr>
        <w:widowControl/>
        <w:ind w:left="426"/>
        <w:jc w:val="both"/>
        <w:rPr>
          <w:rFonts w:ascii="Arial" w:eastAsia="Arial" w:hAnsi="Arial" w:cs="Arial"/>
          <w:b/>
          <w:sz w:val="24"/>
          <w:szCs w:val="24"/>
          <w:lang w:val="en-US"/>
        </w:rPr>
      </w:pPr>
    </w:p>
    <w:p w14:paraId="6FF8A3A2" w14:textId="2D9FF7F5" w:rsidR="00843B67" w:rsidRDefault="00843B67" w:rsidP="00843B67">
      <w:pPr>
        <w:widowControl/>
        <w:ind w:left="426" w:firstLine="567"/>
        <w:jc w:val="center"/>
        <w:rPr>
          <w:rFonts w:ascii="Arial" w:eastAsia="Arial" w:hAnsi="Arial" w:cs="Arial"/>
          <w:b/>
          <w:sz w:val="24"/>
          <w:szCs w:val="24"/>
          <w:lang w:val="en-US"/>
        </w:rPr>
      </w:pPr>
      <w:r>
        <w:rPr>
          <w:rFonts w:ascii="Arial" w:eastAsia="Arial" w:hAnsi="Arial" w:cs="Arial"/>
          <w:b/>
          <w:sz w:val="24"/>
          <w:szCs w:val="24"/>
          <w:lang w:val="en-US"/>
        </w:rPr>
        <w:t>Table 4. Hausmann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4"/>
        <w:gridCol w:w="1283"/>
      </w:tblGrid>
      <w:tr w:rsidR="007E6B62" w:rsidRPr="0029074C" w14:paraId="391096ED" w14:textId="77777777" w:rsidTr="00E6743A">
        <w:trPr>
          <w:jc w:val="center"/>
        </w:trPr>
        <w:tc>
          <w:tcPr>
            <w:tcW w:w="2547" w:type="dxa"/>
            <w:shd w:val="clear" w:color="auto" w:fill="auto"/>
          </w:tcPr>
          <w:p w14:paraId="07F68800" w14:textId="77777777" w:rsidR="007E6B62" w:rsidRPr="00C65D6E" w:rsidRDefault="007E6B62" w:rsidP="00D8467B">
            <w:pPr>
              <w:shd w:val="clear" w:color="auto" w:fill="FFFFFF"/>
              <w:rPr>
                <w:rFonts w:cs="Arial"/>
                <w:b/>
                <w:bCs/>
                <w:lang w:eastAsia="ja-JP"/>
              </w:rPr>
            </w:pPr>
            <w:r w:rsidRPr="00C65D6E">
              <w:rPr>
                <w:rFonts w:cs="Arial"/>
                <w:b/>
                <w:bCs/>
                <w:lang w:eastAsia="ja-JP"/>
              </w:rPr>
              <w:t xml:space="preserve">Test Summary </w:t>
            </w:r>
          </w:p>
        </w:tc>
        <w:tc>
          <w:tcPr>
            <w:tcW w:w="1984" w:type="dxa"/>
            <w:shd w:val="clear" w:color="auto" w:fill="auto"/>
          </w:tcPr>
          <w:p w14:paraId="17CC13C3" w14:textId="77777777" w:rsidR="007E6B62" w:rsidRPr="00C65D6E" w:rsidRDefault="007E6B62" w:rsidP="00D8467B">
            <w:pPr>
              <w:shd w:val="clear" w:color="auto" w:fill="FFFFFF"/>
              <w:rPr>
                <w:rFonts w:cs="Arial"/>
                <w:b/>
                <w:bCs/>
                <w:lang w:eastAsia="ja-JP"/>
              </w:rPr>
            </w:pPr>
            <w:r w:rsidRPr="00C65D6E">
              <w:rPr>
                <w:rFonts w:cs="Arial"/>
                <w:b/>
                <w:bCs/>
                <w:lang w:eastAsia="ja-JP"/>
              </w:rPr>
              <w:t xml:space="preserve">Chi-Sq. Statistic </w:t>
            </w:r>
          </w:p>
        </w:tc>
        <w:tc>
          <w:tcPr>
            <w:tcW w:w="1283" w:type="dxa"/>
            <w:shd w:val="clear" w:color="auto" w:fill="auto"/>
          </w:tcPr>
          <w:p w14:paraId="0B1ED651" w14:textId="77777777" w:rsidR="007E6B62" w:rsidRPr="00C65D6E" w:rsidRDefault="007E6B62" w:rsidP="00D8467B">
            <w:pPr>
              <w:shd w:val="clear" w:color="auto" w:fill="FFFFFF"/>
              <w:rPr>
                <w:rFonts w:cs="Arial"/>
                <w:b/>
                <w:bCs/>
                <w:lang w:eastAsia="ja-JP"/>
              </w:rPr>
            </w:pPr>
            <w:r w:rsidRPr="00C65D6E">
              <w:rPr>
                <w:rFonts w:cs="Arial"/>
                <w:b/>
                <w:bCs/>
                <w:lang w:eastAsia="ja-JP"/>
              </w:rPr>
              <w:t>Probability</w:t>
            </w:r>
          </w:p>
        </w:tc>
      </w:tr>
      <w:tr w:rsidR="007E6B62" w:rsidRPr="0029074C" w14:paraId="4E1D8740" w14:textId="77777777" w:rsidTr="00E6743A">
        <w:trPr>
          <w:jc w:val="center"/>
        </w:trPr>
        <w:tc>
          <w:tcPr>
            <w:tcW w:w="2547" w:type="dxa"/>
            <w:shd w:val="clear" w:color="auto" w:fill="auto"/>
          </w:tcPr>
          <w:p w14:paraId="4C7AD019" w14:textId="77777777" w:rsidR="007E6B62" w:rsidRPr="00C54038" w:rsidRDefault="007E6B62" w:rsidP="00D8467B">
            <w:pPr>
              <w:shd w:val="clear" w:color="auto" w:fill="FFFFFF"/>
              <w:rPr>
                <w:rFonts w:cs="Arial"/>
                <w:lang w:eastAsia="ja-JP"/>
              </w:rPr>
            </w:pPr>
            <w:r w:rsidRPr="00C54038">
              <w:rPr>
                <w:rFonts w:cs="Arial"/>
                <w:lang w:eastAsia="ja-JP"/>
              </w:rPr>
              <w:t>Cross-Section random</w:t>
            </w:r>
          </w:p>
        </w:tc>
        <w:tc>
          <w:tcPr>
            <w:tcW w:w="1984" w:type="dxa"/>
            <w:shd w:val="clear" w:color="auto" w:fill="auto"/>
          </w:tcPr>
          <w:p w14:paraId="1E8E2C4C" w14:textId="77777777" w:rsidR="007E6B62" w:rsidRPr="00C54038" w:rsidRDefault="007E6B62" w:rsidP="00D8467B">
            <w:pPr>
              <w:shd w:val="clear" w:color="auto" w:fill="FFFFFF"/>
              <w:rPr>
                <w:rFonts w:cs="Arial"/>
                <w:lang w:eastAsia="ja-JP"/>
              </w:rPr>
            </w:pPr>
            <w:r w:rsidRPr="00C54038">
              <w:rPr>
                <w:rFonts w:cs="Arial"/>
                <w:lang w:eastAsia="ja-JP"/>
              </w:rPr>
              <w:t>29.738912</w:t>
            </w:r>
          </w:p>
        </w:tc>
        <w:tc>
          <w:tcPr>
            <w:tcW w:w="1283" w:type="dxa"/>
            <w:shd w:val="clear" w:color="auto" w:fill="auto"/>
          </w:tcPr>
          <w:p w14:paraId="4F461196" w14:textId="77777777" w:rsidR="007E6B62" w:rsidRPr="00C54038" w:rsidRDefault="007E6B62" w:rsidP="00D8467B">
            <w:pPr>
              <w:shd w:val="clear" w:color="auto" w:fill="FFFFFF"/>
              <w:rPr>
                <w:rFonts w:cs="Arial"/>
                <w:lang w:eastAsia="ja-JP"/>
              </w:rPr>
            </w:pPr>
            <w:r w:rsidRPr="00C54038">
              <w:rPr>
                <w:rFonts w:cs="Arial"/>
                <w:lang w:eastAsia="ja-JP"/>
              </w:rPr>
              <w:t>0.0000</w:t>
            </w:r>
          </w:p>
        </w:tc>
      </w:tr>
    </w:tbl>
    <w:p w14:paraId="215722CC" w14:textId="76554EDD" w:rsidR="00C162A3" w:rsidRDefault="00C162A3" w:rsidP="00E6743A">
      <w:pPr>
        <w:widowControl/>
        <w:ind w:left="426"/>
        <w:jc w:val="center"/>
        <w:rPr>
          <w:rFonts w:ascii="Arial" w:eastAsia="Arial" w:hAnsi="Arial" w:cs="Arial"/>
          <w:bCs/>
          <w:sz w:val="24"/>
          <w:szCs w:val="24"/>
          <w:lang w:val="en-US"/>
        </w:rPr>
      </w:pPr>
      <w:r>
        <w:rPr>
          <w:rFonts w:ascii="Arial" w:eastAsia="Arial" w:hAnsi="Arial" w:cs="Arial"/>
          <w:bCs/>
          <w:sz w:val="24"/>
          <w:szCs w:val="24"/>
          <w:lang w:val="en-US"/>
        </w:rPr>
        <w:t>Source: Secondary Data Processed, 2023</w:t>
      </w:r>
    </w:p>
    <w:p w14:paraId="41BF6175" w14:textId="77777777" w:rsidR="00E6743A" w:rsidRPr="00215231" w:rsidRDefault="00E6743A" w:rsidP="00C162A3">
      <w:pPr>
        <w:widowControl/>
        <w:ind w:left="426"/>
        <w:jc w:val="both"/>
        <w:rPr>
          <w:rFonts w:ascii="Arial" w:eastAsia="Arial" w:hAnsi="Arial" w:cs="Arial"/>
          <w:bCs/>
          <w:sz w:val="24"/>
          <w:szCs w:val="24"/>
          <w:lang w:val="en-US"/>
        </w:rPr>
      </w:pPr>
    </w:p>
    <w:p w14:paraId="374D30B9" w14:textId="341CB0CA" w:rsidR="007E6B62" w:rsidRDefault="007E6B62" w:rsidP="007E6B62">
      <w:pPr>
        <w:widowControl/>
        <w:ind w:left="426" w:firstLine="567"/>
        <w:jc w:val="both"/>
        <w:rPr>
          <w:rFonts w:ascii="Arial" w:eastAsia="Arial" w:hAnsi="Arial" w:cs="Arial"/>
          <w:sz w:val="24"/>
          <w:szCs w:val="24"/>
        </w:rPr>
      </w:pPr>
      <w:r w:rsidRPr="007E6B62">
        <w:rPr>
          <w:rFonts w:ascii="Arial" w:eastAsia="Arial" w:hAnsi="Arial" w:cs="Arial"/>
          <w:sz w:val="24"/>
          <w:szCs w:val="24"/>
        </w:rPr>
        <w:t>Based on the Hausmann test above, it was found that the p value was 0.000 &lt; 0.05. This shows that the fixed effect model (FEM) is better than the random effect model (REM).</w:t>
      </w:r>
    </w:p>
    <w:p w14:paraId="4BB70315" w14:textId="77777777" w:rsidR="00E6743A" w:rsidRPr="007E6B62" w:rsidRDefault="00E6743A" w:rsidP="007E6B62">
      <w:pPr>
        <w:widowControl/>
        <w:ind w:left="426" w:firstLine="567"/>
        <w:jc w:val="both"/>
        <w:rPr>
          <w:rFonts w:ascii="Arial" w:eastAsia="Arial" w:hAnsi="Arial" w:cs="Arial"/>
          <w:sz w:val="24"/>
          <w:szCs w:val="24"/>
        </w:rPr>
      </w:pPr>
    </w:p>
    <w:p w14:paraId="54455E5B" w14:textId="46FE2454" w:rsidR="007E6B62" w:rsidRDefault="007E6B62" w:rsidP="007E6B62">
      <w:pPr>
        <w:widowControl/>
        <w:ind w:left="426"/>
        <w:jc w:val="both"/>
        <w:rPr>
          <w:rFonts w:ascii="Arial" w:eastAsia="Arial" w:hAnsi="Arial" w:cs="Arial"/>
          <w:b/>
          <w:sz w:val="24"/>
          <w:szCs w:val="24"/>
          <w:lang w:val="en-US"/>
        </w:rPr>
      </w:pPr>
      <w:r>
        <w:rPr>
          <w:rFonts w:ascii="Arial" w:eastAsia="Arial" w:hAnsi="Arial" w:cs="Arial"/>
          <w:b/>
          <w:sz w:val="24"/>
          <w:szCs w:val="24"/>
          <w:lang w:val="en-US"/>
        </w:rPr>
        <w:t>Lagrange Multiplier Test</w:t>
      </w:r>
    </w:p>
    <w:p w14:paraId="1EC49358" w14:textId="77777777" w:rsidR="00E6743A" w:rsidRDefault="00E6743A" w:rsidP="007E6B62">
      <w:pPr>
        <w:widowControl/>
        <w:ind w:left="426"/>
        <w:jc w:val="both"/>
        <w:rPr>
          <w:rFonts w:ascii="Arial" w:eastAsia="Arial" w:hAnsi="Arial" w:cs="Arial"/>
          <w:b/>
          <w:sz w:val="24"/>
          <w:szCs w:val="24"/>
          <w:lang w:val="en-US"/>
        </w:rPr>
      </w:pPr>
    </w:p>
    <w:p w14:paraId="314E186F" w14:textId="4E0936CA" w:rsidR="00CD78F5" w:rsidRDefault="00CD78F5" w:rsidP="00CD78F5">
      <w:pPr>
        <w:widowControl/>
        <w:ind w:left="426" w:firstLine="567"/>
        <w:jc w:val="center"/>
        <w:rPr>
          <w:rFonts w:ascii="Arial" w:eastAsia="Arial" w:hAnsi="Arial" w:cs="Arial"/>
          <w:b/>
          <w:sz w:val="24"/>
          <w:szCs w:val="24"/>
          <w:lang w:val="en-US"/>
        </w:rPr>
      </w:pPr>
      <w:r>
        <w:rPr>
          <w:rFonts w:ascii="Arial" w:eastAsia="Arial" w:hAnsi="Arial" w:cs="Arial"/>
          <w:b/>
          <w:sz w:val="24"/>
          <w:szCs w:val="24"/>
          <w:lang w:val="en-US"/>
        </w:rPr>
        <w:t xml:space="preserve">Table 5. </w:t>
      </w:r>
      <w:r w:rsidRPr="00CD78F5">
        <w:rPr>
          <w:rFonts w:ascii="Arial" w:eastAsia="Arial" w:hAnsi="Arial" w:cs="Arial"/>
          <w:b/>
          <w:bCs/>
          <w:sz w:val="24"/>
          <w:szCs w:val="24"/>
          <w:lang w:val="en-US"/>
        </w:rPr>
        <w:t>Lagrange</w:t>
      </w:r>
      <w:r>
        <w:rPr>
          <w:rFonts w:ascii="Arial" w:eastAsia="Arial" w:hAnsi="Arial" w:cs="Arial"/>
          <w:b/>
          <w:sz w:val="24"/>
          <w:szCs w:val="24"/>
          <w:lang w:val="en-US"/>
        </w:rPr>
        <w:t xml:space="preserve"> Multiplier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1605"/>
        <w:gridCol w:w="1404"/>
        <w:gridCol w:w="1283"/>
      </w:tblGrid>
      <w:tr w:rsidR="00DF1F82" w:rsidRPr="0029074C" w14:paraId="66BBCCE5" w14:textId="77777777" w:rsidTr="00E6743A">
        <w:trPr>
          <w:jc w:val="center"/>
        </w:trPr>
        <w:tc>
          <w:tcPr>
            <w:tcW w:w="2359" w:type="dxa"/>
            <w:shd w:val="clear" w:color="auto" w:fill="auto"/>
          </w:tcPr>
          <w:p w14:paraId="44997A10" w14:textId="77777777" w:rsidR="00DF1F82" w:rsidRPr="0029074C" w:rsidRDefault="00DF1F82" w:rsidP="00D8467B">
            <w:pPr>
              <w:shd w:val="clear" w:color="auto" w:fill="FFFFFF"/>
              <w:rPr>
                <w:rFonts w:cs="Arial"/>
                <w:b/>
                <w:bCs/>
                <w:lang w:eastAsia="ja-JP"/>
              </w:rPr>
            </w:pPr>
            <w:r w:rsidRPr="0029074C">
              <w:rPr>
                <w:rFonts w:cs="Arial"/>
                <w:b/>
                <w:bCs/>
                <w:lang w:eastAsia="ja-JP"/>
              </w:rPr>
              <w:t xml:space="preserve">Test Summary </w:t>
            </w:r>
          </w:p>
        </w:tc>
        <w:tc>
          <w:tcPr>
            <w:tcW w:w="4292" w:type="dxa"/>
            <w:gridSpan w:val="3"/>
            <w:shd w:val="clear" w:color="auto" w:fill="auto"/>
          </w:tcPr>
          <w:p w14:paraId="4EEC9FD0" w14:textId="77777777" w:rsidR="00DF1F82" w:rsidRPr="0029074C" w:rsidRDefault="00DF1F82" w:rsidP="00D8467B">
            <w:pPr>
              <w:shd w:val="clear" w:color="auto" w:fill="FFFFFF"/>
              <w:rPr>
                <w:rFonts w:cs="Arial"/>
                <w:b/>
                <w:bCs/>
                <w:lang w:eastAsia="ja-JP"/>
              </w:rPr>
            </w:pPr>
            <w:r w:rsidRPr="0029074C">
              <w:rPr>
                <w:rFonts w:cs="Arial"/>
                <w:b/>
                <w:bCs/>
                <w:lang w:eastAsia="ja-JP"/>
              </w:rPr>
              <w:t>Test Hypothesis</w:t>
            </w:r>
          </w:p>
        </w:tc>
      </w:tr>
      <w:tr w:rsidR="00DF1F82" w:rsidRPr="0029074C" w14:paraId="3559E5C0" w14:textId="77777777" w:rsidTr="00E6743A">
        <w:trPr>
          <w:jc w:val="center"/>
        </w:trPr>
        <w:tc>
          <w:tcPr>
            <w:tcW w:w="2359" w:type="dxa"/>
            <w:shd w:val="clear" w:color="auto" w:fill="auto"/>
          </w:tcPr>
          <w:p w14:paraId="4DB06154" w14:textId="77777777" w:rsidR="00DF1F82" w:rsidRPr="00C54038" w:rsidRDefault="00DF1F82" w:rsidP="00D8467B">
            <w:pPr>
              <w:shd w:val="clear" w:color="auto" w:fill="FFFFFF"/>
              <w:rPr>
                <w:rFonts w:cs="Arial"/>
                <w:lang w:eastAsia="ja-JP"/>
              </w:rPr>
            </w:pPr>
            <w:r w:rsidRPr="00C54038">
              <w:rPr>
                <w:rFonts w:cs="Arial"/>
                <w:lang w:eastAsia="ja-JP"/>
              </w:rPr>
              <w:t>Cross-Section random</w:t>
            </w:r>
          </w:p>
        </w:tc>
        <w:tc>
          <w:tcPr>
            <w:tcW w:w="1605" w:type="dxa"/>
            <w:shd w:val="clear" w:color="auto" w:fill="auto"/>
          </w:tcPr>
          <w:p w14:paraId="0292C230" w14:textId="77777777" w:rsidR="00DF1F82" w:rsidRPr="00C54038" w:rsidRDefault="00DF1F82" w:rsidP="00D8467B">
            <w:pPr>
              <w:shd w:val="clear" w:color="auto" w:fill="FFFFFF"/>
              <w:rPr>
                <w:rFonts w:cs="Arial"/>
                <w:lang w:eastAsia="ja-JP"/>
              </w:rPr>
            </w:pPr>
            <w:r w:rsidRPr="00C54038">
              <w:rPr>
                <w:rFonts w:cs="Arial"/>
                <w:lang w:eastAsia="ja-JP"/>
              </w:rPr>
              <w:t>Cross-section</w:t>
            </w:r>
          </w:p>
        </w:tc>
        <w:tc>
          <w:tcPr>
            <w:tcW w:w="1404" w:type="dxa"/>
            <w:shd w:val="clear" w:color="auto" w:fill="auto"/>
          </w:tcPr>
          <w:p w14:paraId="533069C7" w14:textId="77777777" w:rsidR="00DF1F82" w:rsidRPr="00C54038" w:rsidRDefault="00DF1F82" w:rsidP="00D8467B">
            <w:pPr>
              <w:shd w:val="clear" w:color="auto" w:fill="FFFFFF"/>
              <w:rPr>
                <w:rFonts w:cs="Arial"/>
                <w:lang w:eastAsia="ja-JP"/>
              </w:rPr>
            </w:pPr>
            <w:r w:rsidRPr="00C54038">
              <w:rPr>
                <w:rFonts w:cs="Arial"/>
                <w:lang w:eastAsia="ja-JP"/>
              </w:rPr>
              <w:t xml:space="preserve">Time </w:t>
            </w:r>
          </w:p>
        </w:tc>
        <w:tc>
          <w:tcPr>
            <w:tcW w:w="1283" w:type="dxa"/>
            <w:shd w:val="clear" w:color="auto" w:fill="auto"/>
          </w:tcPr>
          <w:p w14:paraId="0356D5EF" w14:textId="77777777" w:rsidR="00DF1F82" w:rsidRPr="00C54038" w:rsidRDefault="00DF1F82" w:rsidP="00D8467B">
            <w:pPr>
              <w:shd w:val="clear" w:color="auto" w:fill="FFFFFF"/>
              <w:rPr>
                <w:rFonts w:cs="Arial"/>
                <w:lang w:eastAsia="ja-JP"/>
              </w:rPr>
            </w:pPr>
            <w:r w:rsidRPr="00C54038">
              <w:rPr>
                <w:rFonts w:cs="Arial"/>
                <w:lang w:eastAsia="ja-JP"/>
              </w:rPr>
              <w:t xml:space="preserve">Both </w:t>
            </w:r>
          </w:p>
        </w:tc>
      </w:tr>
      <w:tr w:rsidR="00DF1F82" w:rsidRPr="0029074C" w14:paraId="5FB55ABA" w14:textId="77777777" w:rsidTr="00E6743A">
        <w:trPr>
          <w:jc w:val="center"/>
        </w:trPr>
        <w:tc>
          <w:tcPr>
            <w:tcW w:w="2359" w:type="dxa"/>
            <w:shd w:val="clear" w:color="auto" w:fill="auto"/>
          </w:tcPr>
          <w:p w14:paraId="54CFCBDE" w14:textId="77777777" w:rsidR="00DF1F82" w:rsidRPr="00C54038" w:rsidRDefault="00DF1F82" w:rsidP="00D8467B">
            <w:pPr>
              <w:shd w:val="clear" w:color="auto" w:fill="FFFFFF"/>
              <w:rPr>
                <w:rFonts w:cs="Arial"/>
                <w:lang w:eastAsia="ja-JP"/>
              </w:rPr>
            </w:pPr>
            <w:r w:rsidRPr="00C54038">
              <w:rPr>
                <w:rFonts w:cs="Arial"/>
                <w:lang w:eastAsia="ja-JP"/>
              </w:rPr>
              <w:t>Breusch-Pagan</w:t>
            </w:r>
          </w:p>
        </w:tc>
        <w:tc>
          <w:tcPr>
            <w:tcW w:w="1605" w:type="dxa"/>
            <w:shd w:val="clear" w:color="auto" w:fill="auto"/>
          </w:tcPr>
          <w:p w14:paraId="42CCEAAD" w14:textId="77777777" w:rsidR="00DF1F82" w:rsidRPr="00C54038" w:rsidRDefault="00DF1F82" w:rsidP="00D8467B">
            <w:pPr>
              <w:shd w:val="clear" w:color="auto" w:fill="FFFFFF"/>
              <w:rPr>
                <w:rFonts w:cs="Arial"/>
                <w:lang w:eastAsia="ja-JP"/>
              </w:rPr>
            </w:pPr>
            <w:r w:rsidRPr="00C54038">
              <w:rPr>
                <w:rFonts w:cs="Arial"/>
                <w:lang w:eastAsia="ja-JP"/>
              </w:rPr>
              <w:t>0,0000</w:t>
            </w:r>
          </w:p>
        </w:tc>
        <w:tc>
          <w:tcPr>
            <w:tcW w:w="1404" w:type="dxa"/>
            <w:shd w:val="clear" w:color="auto" w:fill="auto"/>
          </w:tcPr>
          <w:p w14:paraId="4A53BF52" w14:textId="77777777" w:rsidR="00DF1F82" w:rsidRPr="00C54038" w:rsidRDefault="00DF1F82" w:rsidP="00D8467B">
            <w:pPr>
              <w:shd w:val="clear" w:color="auto" w:fill="FFFFFF"/>
              <w:rPr>
                <w:rFonts w:cs="Arial"/>
                <w:lang w:eastAsia="ja-JP"/>
              </w:rPr>
            </w:pPr>
            <w:r w:rsidRPr="00C54038">
              <w:rPr>
                <w:rFonts w:cs="Arial"/>
                <w:lang w:eastAsia="ja-JP"/>
              </w:rPr>
              <w:t>0,4135</w:t>
            </w:r>
          </w:p>
        </w:tc>
        <w:tc>
          <w:tcPr>
            <w:tcW w:w="1283" w:type="dxa"/>
            <w:shd w:val="clear" w:color="auto" w:fill="auto"/>
          </w:tcPr>
          <w:p w14:paraId="09DF89C7" w14:textId="77777777" w:rsidR="00DF1F82" w:rsidRPr="00C54038" w:rsidRDefault="00DF1F82" w:rsidP="00D8467B">
            <w:pPr>
              <w:shd w:val="clear" w:color="auto" w:fill="FFFFFF"/>
              <w:rPr>
                <w:rFonts w:cs="Arial"/>
                <w:lang w:eastAsia="ja-JP"/>
              </w:rPr>
            </w:pPr>
            <w:r w:rsidRPr="00C54038">
              <w:rPr>
                <w:rFonts w:cs="Arial"/>
                <w:lang w:eastAsia="ja-JP"/>
              </w:rPr>
              <w:t>0,0001</w:t>
            </w:r>
          </w:p>
        </w:tc>
      </w:tr>
    </w:tbl>
    <w:p w14:paraId="3AB1F1A4" w14:textId="77777777" w:rsidR="00C162A3" w:rsidRPr="00215231" w:rsidRDefault="00C162A3" w:rsidP="00DF4E8E">
      <w:pPr>
        <w:widowControl/>
        <w:ind w:left="426"/>
        <w:jc w:val="center"/>
        <w:rPr>
          <w:rFonts w:ascii="Arial" w:eastAsia="Arial" w:hAnsi="Arial" w:cs="Arial"/>
          <w:bCs/>
          <w:sz w:val="24"/>
          <w:szCs w:val="24"/>
          <w:lang w:val="en-US"/>
        </w:rPr>
      </w:pPr>
      <w:r>
        <w:rPr>
          <w:rFonts w:ascii="Arial" w:eastAsia="Arial" w:hAnsi="Arial" w:cs="Arial"/>
          <w:bCs/>
          <w:sz w:val="24"/>
          <w:szCs w:val="24"/>
          <w:lang w:val="en-US"/>
        </w:rPr>
        <w:t>Source: Secondary Data Processed, 2023</w:t>
      </w:r>
    </w:p>
    <w:p w14:paraId="30B8C031" w14:textId="77777777" w:rsidR="00C162A3" w:rsidRDefault="00C162A3" w:rsidP="00DF1F82">
      <w:pPr>
        <w:widowControl/>
        <w:ind w:left="426" w:firstLine="567"/>
        <w:jc w:val="both"/>
        <w:rPr>
          <w:rFonts w:ascii="Arial" w:eastAsia="Arial" w:hAnsi="Arial" w:cs="Arial"/>
          <w:bCs/>
          <w:sz w:val="24"/>
          <w:szCs w:val="24"/>
        </w:rPr>
      </w:pPr>
    </w:p>
    <w:p w14:paraId="66D2D62D" w14:textId="660A9201" w:rsidR="00DF1F82" w:rsidRDefault="00DF1F82" w:rsidP="00DF1F82">
      <w:pPr>
        <w:widowControl/>
        <w:ind w:left="426" w:firstLine="567"/>
        <w:jc w:val="both"/>
        <w:rPr>
          <w:rFonts w:ascii="Arial" w:eastAsia="Arial" w:hAnsi="Arial" w:cs="Arial"/>
          <w:bCs/>
          <w:sz w:val="24"/>
          <w:szCs w:val="24"/>
        </w:rPr>
      </w:pPr>
      <w:r w:rsidRPr="00DF1F82">
        <w:rPr>
          <w:rFonts w:ascii="Arial" w:eastAsia="Arial" w:hAnsi="Arial" w:cs="Arial"/>
          <w:bCs/>
          <w:sz w:val="24"/>
          <w:szCs w:val="24"/>
        </w:rPr>
        <w:t>Based on the Lagrange Multiplier test above, it was found that the p value was 0.0001&lt;0.05. This shows that the random effect model (REM) is better than the common effect model (CEM). The results of the Lagrange Multiplier test are consistent with the Chow test and Hausmann test which confirm that the fixed effect model is the best research model.</w:t>
      </w:r>
    </w:p>
    <w:p w14:paraId="3E901BA9" w14:textId="77777777" w:rsidR="00E6743A" w:rsidRPr="00DF1F82" w:rsidRDefault="00E6743A" w:rsidP="00DF1F82">
      <w:pPr>
        <w:widowControl/>
        <w:ind w:left="426" w:firstLine="567"/>
        <w:jc w:val="both"/>
        <w:rPr>
          <w:rFonts w:ascii="Arial" w:eastAsia="Arial" w:hAnsi="Arial" w:cs="Arial"/>
          <w:bCs/>
          <w:sz w:val="24"/>
          <w:szCs w:val="24"/>
        </w:rPr>
      </w:pPr>
    </w:p>
    <w:p w14:paraId="2639564E" w14:textId="3982006E" w:rsidR="00DF1F82" w:rsidRDefault="00DF1F82" w:rsidP="00DF1F82">
      <w:pPr>
        <w:widowControl/>
        <w:ind w:left="426"/>
        <w:jc w:val="both"/>
        <w:rPr>
          <w:rFonts w:ascii="Arial" w:eastAsia="Arial" w:hAnsi="Arial" w:cs="Arial"/>
          <w:b/>
          <w:sz w:val="24"/>
          <w:szCs w:val="24"/>
          <w:lang w:val="en-US"/>
        </w:rPr>
      </w:pPr>
      <w:r>
        <w:rPr>
          <w:rFonts w:ascii="Arial" w:eastAsia="Arial" w:hAnsi="Arial" w:cs="Arial"/>
          <w:b/>
          <w:sz w:val="24"/>
          <w:szCs w:val="24"/>
          <w:lang w:val="en-US"/>
        </w:rPr>
        <w:t>Regression Analysis</w:t>
      </w:r>
    </w:p>
    <w:p w14:paraId="4B57543A" w14:textId="77777777" w:rsidR="00E6743A" w:rsidRDefault="00E6743A" w:rsidP="00DF1F82">
      <w:pPr>
        <w:widowControl/>
        <w:ind w:left="426"/>
        <w:jc w:val="both"/>
        <w:rPr>
          <w:rFonts w:ascii="Arial" w:eastAsia="Arial" w:hAnsi="Arial" w:cs="Arial"/>
          <w:b/>
          <w:sz w:val="24"/>
          <w:szCs w:val="24"/>
          <w:lang w:val="en-US"/>
        </w:rPr>
      </w:pPr>
    </w:p>
    <w:p w14:paraId="3BB82DC9" w14:textId="2486E6A8" w:rsidR="00CD78F5" w:rsidRDefault="00CD78F5" w:rsidP="00D97218">
      <w:pPr>
        <w:widowControl/>
        <w:ind w:left="426" w:firstLine="567"/>
        <w:jc w:val="center"/>
        <w:rPr>
          <w:rFonts w:ascii="Arial" w:eastAsia="Arial" w:hAnsi="Arial" w:cs="Arial"/>
          <w:b/>
          <w:sz w:val="24"/>
          <w:szCs w:val="24"/>
          <w:lang w:val="en-US"/>
        </w:rPr>
      </w:pPr>
      <w:r>
        <w:rPr>
          <w:rFonts w:ascii="Arial" w:eastAsia="Arial" w:hAnsi="Arial" w:cs="Arial"/>
          <w:b/>
          <w:sz w:val="24"/>
          <w:szCs w:val="24"/>
          <w:lang w:val="en-US"/>
        </w:rPr>
        <w:t>Table 6. Regression Analysis</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1134"/>
        <w:gridCol w:w="1244"/>
        <w:gridCol w:w="876"/>
      </w:tblGrid>
      <w:tr w:rsidR="00451C9D" w:rsidRPr="00C54038" w14:paraId="1BC521C2" w14:textId="77777777" w:rsidTr="00D8467B">
        <w:tc>
          <w:tcPr>
            <w:tcW w:w="1696" w:type="dxa"/>
            <w:shd w:val="clear" w:color="auto" w:fill="auto"/>
          </w:tcPr>
          <w:p w14:paraId="212B0828" w14:textId="77777777" w:rsidR="00451C9D" w:rsidRPr="00C54038" w:rsidRDefault="00451C9D" w:rsidP="00D8467B">
            <w:pPr>
              <w:jc w:val="center"/>
              <w:rPr>
                <w:rFonts w:cs="Arial"/>
                <w:b/>
                <w:bCs/>
                <w:lang w:eastAsia="ja-JP"/>
              </w:rPr>
            </w:pPr>
            <w:r w:rsidRPr="00C54038">
              <w:rPr>
                <w:rFonts w:cs="Arial"/>
                <w:b/>
                <w:bCs/>
                <w:lang w:eastAsia="ja-JP"/>
              </w:rPr>
              <w:t>Variabel</w:t>
            </w:r>
          </w:p>
        </w:tc>
        <w:tc>
          <w:tcPr>
            <w:tcW w:w="1701" w:type="dxa"/>
            <w:shd w:val="clear" w:color="auto" w:fill="auto"/>
          </w:tcPr>
          <w:p w14:paraId="0AE4AA6B" w14:textId="77777777" w:rsidR="00451C9D" w:rsidRPr="00C54038" w:rsidRDefault="00451C9D" w:rsidP="00D8467B">
            <w:pPr>
              <w:jc w:val="center"/>
              <w:rPr>
                <w:rFonts w:cs="Arial"/>
                <w:b/>
                <w:bCs/>
                <w:lang w:eastAsia="ja-JP"/>
              </w:rPr>
            </w:pPr>
            <w:r w:rsidRPr="00C54038">
              <w:rPr>
                <w:rFonts w:cs="Arial"/>
                <w:b/>
                <w:bCs/>
                <w:lang w:eastAsia="ja-JP"/>
              </w:rPr>
              <w:t xml:space="preserve">Coefficient </w:t>
            </w:r>
          </w:p>
        </w:tc>
        <w:tc>
          <w:tcPr>
            <w:tcW w:w="1134" w:type="dxa"/>
            <w:shd w:val="clear" w:color="auto" w:fill="auto"/>
          </w:tcPr>
          <w:p w14:paraId="016A9415" w14:textId="77777777" w:rsidR="00451C9D" w:rsidRPr="00C54038" w:rsidRDefault="00451C9D" w:rsidP="00D8467B">
            <w:pPr>
              <w:jc w:val="center"/>
              <w:rPr>
                <w:rFonts w:cs="Arial"/>
                <w:b/>
                <w:bCs/>
                <w:lang w:eastAsia="ja-JP"/>
              </w:rPr>
            </w:pPr>
            <w:r w:rsidRPr="00C54038">
              <w:rPr>
                <w:rFonts w:cs="Arial"/>
                <w:b/>
                <w:bCs/>
                <w:lang w:eastAsia="ja-JP"/>
              </w:rPr>
              <w:t>Std. error</w:t>
            </w:r>
          </w:p>
        </w:tc>
        <w:tc>
          <w:tcPr>
            <w:tcW w:w="1244" w:type="dxa"/>
            <w:shd w:val="clear" w:color="auto" w:fill="auto"/>
          </w:tcPr>
          <w:p w14:paraId="70BF887F" w14:textId="77777777" w:rsidR="00451C9D" w:rsidRPr="00C54038" w:rsidRDefault="00451C9D" w:rsidP="00D8467B">
            <w:pPr>
              <w:jc w:val="center"/>
              <w:rPr>
                <w:rFonts w:cs="Arial"/>
                <w:b/>
                <w:bCs/>
                <w:lang w:eastAsia="ja-JP"/>
              </w:rPr>
            </w:pPr>
            <w:r w:rsidRPr="00C54038">
              <w:rPr>
                <w:rFonts w:cs="Arial"/>
                <w:b/>
                <w:bCs/>
                <w:lang w:eastAsia="ja-JP"/>
              </w:rPr>
              <w:t>t-Statistic</w:t>
            </w:r>
          </w:p>
        </w:tc>
        <w:tc>
          <w:tcPr>
            <w:tcW w:w="876" w:type="dxa"/>
            <w:shd w:val="clear" w:color="auto" w:fill="auto"/>
          </w:tcPr>
          <w:p w14:paraId="7EE46A0B" w14:textId="77777777" w:rsidR="00451C9D" w:rsidRPr="00C54038" w:rsidRDefault="00451C9D" w:rsidP="00D8467B">
            <w:pPr>
              <w:jc w:val="center"/>
              <w:rPr>
                <w:rFonts w:cs="Arial"/>
                <w:b/>
                <w:bCs/>
                <w:lang w:eastAsia="ja-JP"/>
              </w:rPr>
            </w:pPr>
            <w:r w:rsidRPr="00C54038">
              <w:rPr>
                <w:rFonts w:cs="Arial"/>
                <w:b/>
                <w:bCs/>
                <w:lang w:eastAsia="ja-JP"/>
              </w:rPr>
              <w:t>Prob</w:t>
            </w:r>
          </w:p>
        </w:tc>
      </w:tr>
      <w:tr w:rsidR="00451C9D" w:rsidRPr="00C54038" w14:paraId="08AA1ADA" w14:textId="77777777" w:rsidTr="00D8467B">
        <w:tc>
          <w:tcPr>
            <w:tcW w:w="1696" w:type="dxa"/>
            <w:shd w:val="clear" w:color="auto" w:fill="auto"/>
          </w:tcPr>
          <w:p w14:paraId="74ACC965" w14:textId="77777777" w:rsidR="00451C9D" w:rsidRPr="00C54038" w:rsidRDefault="00451C9D" w:rsidP="00D8467B">
            <w:pPr>
              <w:jc w:val="center"/>
              <w:rPr>
                <w:rFonts w:cs="Arial"/>
                <w:lang w:eastAsia="ja-JP"/>
              </w:rPr>
            </w:pPr>
            <w:r w:rsidRPr="00C54038">
              <w:rPr>
                <w:rFonts w:cs="Arial"/>
                <w:lang w:eastAsia="ja-JP"/>
              </w:rPr>
              <w:t xml:space="preserve">C </w:t>
            </w:r>
          </w:p>
        </w:tc>
        <w:tc>
          <w:tcPr>
            <w:tcW w:w="1701" w:type="dxa"/>
            <w:shd w:val="clear" w:color="auto" w:fill="auto"/>
          </w:tcPr>
          <w:p w14:paraId="23B71131" w14:textId="77777777" w:rsidR="00451C9D" w:rsidRPr="00C54038" w:rsidRDefault="00451C9D" w:rsidP="00D8467B">
            <w:pPr>
              <w:jc w:val="center"/>
              <w:rPr>
                <w:rFonts w:cs="Arial"/>
                <w:lang w:eastAsia="ja-JP"/>
              </w:rPr>
            </w:pPr>
            <w:r w:rsidRPr="00C54038">
              <w:rPr>
                <w:rFonts w:cs="Arial"/>
                <w:lang w:eastAsia="ja-JP"/>
              </w:rPr>
              <w:t>0.717967</w:t>
            </w:r>
          </w:p>
        </w:tc>
        <w:tc>
          <w:tcPr>
            <w:tcW w:w="1134" w:type="dxa"/>
            <w:shd w:val="clear" w:color="auto" w:fill="auto"/>
          </w:tcPr>
          <w:p w14:paraId="411B550D" w14:textId="77777777" w:rsidR="00451C9D" w:rsidRPr="00C54038" w:rsidRDefault="00451C9D" w:rsidP="00D8467B">
            <w:pPr>
              <w:jc w:val="center"/>
              <w:rPr>
                <w:rFonts w:cs="Arial"/>
                <w:lang w:eastAsia="ja-JP"/>
              </w:rPr>
            </w:pPr>
            <w:r w:rsidRPr="00C54038">
              <w:rPr>
                <w:rFonts w:cs="Arial"/>
                <w:lang w:eastAsia="ja-JP"/>
              </w:rPr>
              <w:t>0.082631</w:t>
            </w:r>
          </w:p>
        </w:tc>
        <w:tc>
          <w:tcPr>
            <w:tcW w:w="1244" w:type="dxa"/>
            <w:shd w:val="clear" w:color="auto" w:fill="auto"/>
          </w:tcPr>
          <w:p w14:paraId="509A9BCE" w14:textId="77777777" w:rsidR="00451C9D" w:rsidRPr="00C54038" w:rsidRDefault="00451C9D" w:rsidP="00D8467B">
            <w:pPr>
              <w:jc w:val="center"/>
              <w:rPr>
                <w:rFonts w:cs="Arial"/>
                <w:lang w:eastAsia="ja-JP"/>
              </w:rPr>
            </w:pPr>
            <w:r w:rsidRPr="00C54038">
              <w:rPr>
                <w:rFonts w:cs="Arial"/>
                <w:lang w:eastAsia="ja-JP"/>
              </w:rPr>
              <w:t>8.68880</w:t>
            </w:r>
          </w:p>
        </w:tc>
        <w:tc>
          <w:tcPr>
            <w:tcW w:w="876" w:type="dxa"/>
            <w:shd w:val="clear" w:color="auto" w:fill="auto"/>
          </w:tcPr>
          <w:p w14:paraId="5657FDA2" w14:textId="77777777" w:rsidR="00451C9D" w:rsidRPr="00C54038" w:rsidRDefault="00451C9D" w:rsidP="00D8467B">
            <w:pPr>
              <w:jc w:val="center"/>
              <w:rPr>
                <w:rFonts w:cs="Arial"/>
                <w:lang w:eastAsia="ja-JP"/>
              </w:rPr>
            </w:pPr>
            <w:r w:rsidRPr="00C54038">
              <w:rPr>
                <w:rFonts w:cs="Arial"/>
                <w:lang w:eastAsia="ja-JP"/>
              </w:rPr>
              <w:t>0.000</w:t>
            </w:r>
          </w:p>
        </w:tc>
      </w:tr>
      <w:tr w:rsidR="00451C9D" w:rsidRPr="00C54038" w14:paraId="7698B3D1" w14:textId="77777777" w:rsidTr="00D8467B">
        <w:tc>
          <w:tcPr>
            <w:tcW w:w="1696" w:type="dxa"/>
            <w:shd w:val="clear" w:color="auto" w:fill="auto"/>
          </w:tcPr>
          <w:p w14:paraId="00D4DF5C" w14:textId="77777777" w:rsidR="00451C9D" w:rsidRPr="00C54038" w:rsidRDefault="00451C9D" w:rsidP="00D8467B">
            <w:pPr>
              <w:jc w:val="center"/>
              <w:rPr>
                <w:rFonts w:cs="Arial"/>
                <w:lang w:eastAsia="ja-JP"/>
              </w:rPr>
            </w:pPr>
            <w:r w:rsidRPr="00C54038">
              <w:rPr>
                <w:rFonts w:cs="Arial"/>
                <w:lang w:eastAsia="ja-JP"/>
              </w:rPr>
              <w:t>CSR</w:t>
            </w:r>
          </w:p>
        </w:tc>
        <w:tc>
          <w:tcPr>
            <w:tcW w:w="1701" w:type="dxa"/>
            <w:shd w:val="clear" w:color="auto" w:fill="auto"/>
          </w:tcPr>
          <w:p w14:paraId="01898ED0" w14:textId="77777777" w:rsidR="00451C9D" w:rsidRPr="00C54038" w:rsidRDefault="00451C9D" w:rsidP="00D8467B">
            <w:pPr>
              <w:jc w:val="center"/>
              <w:rPr>
                <w:rFonts w:cs="Arial"/>
                <w:lang w:eastAsia="ja-JP"/>
              </w:rPr>
            </w:pPr>
            <w:r w:rsidRPr="00C54038">
              <w:rPr>
                <w:rFonts w:cs="Arial"/>
                <w:lang w:eastAsia="ja-JP"/>
              </w:rPr>
              <w:t>1.939763</w:t>
            </w:r>
          </w:p>
        </w:tc>
        <w:tc>
          <w:tcPr>
            <w:tcW w:w="1134" w:type="dxa"/>
            <w:shd w:val="clear" w:color="auto" w:fill="auto"/>
          </w:tcPr>
          <w:p w14:paraId="1538727F" w14:textId="77777777" w:rsidR="00451C9D" w:rsidRPr="00C54038" w:rsidRDefault="00451C9D" w:rsidP="00D8467B">
            <w:pPr>
              <w:jc w:val="center"/>
              <w:rPr>
                <w:rFonts w:cs="Arial"/>
                <w:lang w:eastAsia="ja-JP"/>
              </w:rPr>
            </w:pPr>
            <w:r w:rsidRPr="00C54038">
              <w:rPr>
                <w:rFonts w:cs="Arial"/>
                <w:lang w:eastAsia="ja-JP"/>
              </w:rPr>
              <w:t>0.278272</w:t>
            </w:r>
          </w:p>
        </w:tc>
        <w:tc>
          <w:tcPr>
            <w:tcW w:w="1244" w:type="dxa"/>
            <w:shd w:val="clear" w:color="auto" w:fill="auto"/>
          </w:tcPr>
          <w:p w14:paraId="318D2234" w14:textId="77777777" w:rsidR="00451C9D" w:rsidRPr="00C54038" w:rsidRDefault="00451C9D" w:rsidP="00D8467B">
            <w:pPr>
              <w:jc w:val="center"/>
              <w:rPr>
                <w:rFonts w:cs="Arial"/>
                <w:lang w:eastAsia="ja-JP"/>
              </w:rPr>
            </w:pPr>
            <w:r w:rsidRPr="00C54038">
              <w:rPr>
                <w:rFonts w:cs="Arial"/>
                <w:lang w:eastAsia="ja-JP"/>
              </w:rPr>
              <w:t>6.970736</w:t>
            </w:r>
          </w:p>
        </w:tc>
        <w:tc>
          <w:tcPr>
            <w:tcW w:w="876" w:type="dxa"/>
            <w:shd w:val="clear" w:color="auto" w:fill="auto"/>
          </w:tcPr>
          <w:p w14:paraId="0E65E897" w14:textId="77777777" w:rsidR="00451C9D" w:rsidRPr="00C54038" w:rsidRDefault="00451C9D" w:rsidP="00D8467B">
            <w:pPr>
              <w:jc w:val="center"/>
              <w:rPr>
                <w:rFonts w:cs="Arial"/>
                <w:lang w:eastAsia="ja-JP"/>
              </w:rPr>
            </w:pPr>
            <w:r w:rsidRPr="00C54038">
              <w:rPr>
                <w:rFonts w:cs="Arial"/>
                <w:lang w:eastAsia="ja-JP"/>
              </w:rPr>
              <w:t>0.000</w:t>
            </w:r>
          </w:p>
        </w:tc>
      </w:tr>
    </w:tbl>
    <w:p w14:paraId="5A9B13CD" w14:textId="77777777" w:rsidR="00C162A3" w:rsidRPr="00215231" w:rsidRDefault="00C162A3" w:rsidP="00DF4E8E">
      <w:pPr>
        <w:widowControl/>
        <w:ind w:left="426"/>
        <w:jc w:val="center"/>
        <w:rPr>
          <w:rFonts w:ascii="Arial" w:eastAsia="Arial" w:hAnsi="Arial" w:cs="Arial"/>
          <w:bCs/>
          <w:sz w:val="24"/>
          <w:szCs w:val="24"/>
          <w:lang w:val="en-US"/>
        </w:rPr>
      </w:pPr>
      <w:r>
        <w:rPr>
          <w:rFonts w:ascii="Arial" w:eastAsia="Arial" w:hAnsi="Arial" w:cs="Arial"/>
          <w:bCs/>
          <w:sz w:val="24"/>
          <w:szCs w:val="24"/>
          <w:lang w:val="en-US"/>
        </w:rPr>
        <w:t>Source: Secondary Data Processed, 2023</w:t>
      </w:r>
    </w:p>
    <w:p w14:paraId="484D5AA4" w14:textId="77777777" w:rsidR="00C162A3" w:rsidRDefault="00C162A3" w:rsidP="00451C9D">
      <w:pPr>
        <w:widowControl/>
        <w:ind w:left="426" w:firstLine="567"/>
        <w:jc w:val="both"/>
        <w:rPr>
          <w:rFonts w:ascii="Arial" w:eastAsia="Arial" w:hAnsi="Arial" w:cs="Arial"/>
          <w:sz w:val="24"/>
          <w:szCs w:val="24"/>
          <w:lang w:val="en-US"/>
        </w:rPr>
      </w:pPr>
    </w:p>
    <w:p w14:paraId="5DE83152" w14:textId="578FF240" w:rsidR="00451C9D" w:rsidRPr="00451C9D" w:rsidRDefault="00451C9D" w:rsidP="00451C9D">
      <w:pPr>
        <w:widowControl/>
        <w:ind w:left="426" w:firstLine="567"/>
        <w:jc w:val="both"/>
        <w:rPr>
          <w:rFonts w:ascii="Arial" w:eastAsia="Arial" w:hAnsi="Arial" w:cs="Arial"/>
          <w:sz w:val="24"/>
          <w:szCs w:val="24"/>
          <w:lang w:val="en-US"/>
        </w:rPr>
      </w:pPr>
      <w:r w:rsidRPr="00451C9D">
        <w:rPr>
          <w:rFonts w:ascii="Arial" w:eastAsia="Arial" w:hAnsi="Arial" w:cs="Arial"/>
          <w:sz w:val="24"/>
          <w:szCs w:val="24"/>
          <w:lang w:val="en-US"/>
        </w:rPr>
        <w:t>Based on the table, the multiple linear regression equation in this study is as follows:</w:t>
      </w:r>
    </w:p>
    <w:p w14:paraId="2FB90CBA" w14:textId="70470DDC" w:rsidR="00451C9D" w:rsidRDefault="00451C9D" w:rsidP="00451C9D">
      <w:pPr>
        <w:widowControl/>
        <w:ind w:left="426" w:firstLine="567"/>
        <w:jc w:val="both"/>
        <w:rPr>
          <w:rFonts w:ascii="Arial" w:eastAsia="Arial" w:hAnsi="Arial" w:cs="Arial"/>
          <w:sz w:val="24"/>
          <w:szCs w:val="24"/>
        </w:rPr>
      </w:pPr>
      <w:r w:rsidRPr="00451C9D">
        <w:rPr>
          <w:rFonts w:ascii="Arial" w:eastAsia="Arial" w:hAnsi="Arial" w:cs="Arial"/>
          <w:sz w:val="24"/>
          <w:szCs w:val="24"/>
        </w:rPr>
        <w:t xml:space="preserve">TQ = </w:t>
      </w:r>
      <w:r w:rsidRPr="00451C9D">
        <w:rPr>
          <w:rFonts w:ascii="Arial" w:eastAsia="Arial" w:hAnsi="Arial" w:cs="Arial"/>
          <w:sz w:val="24"/>
          <w:szCs w:val="24"/>
          <w:lang w:val="en-US"/>
        </w:rPr>
        <w:t>0,7179</w:t>
      </w:r>
      <w:r w:rsidRPr="00451C9D">
        <w:rPr>
          <w:rFonts w:ascii="Arial" w:eastAsia="Arial" w:hAnsi="Arial" w:cs="Arial"/>
          <w:sz w:val="24"/>
          <w:szCs w:val="24"/>
        </w:rPr>
        <w:t>+ 1</w:t>
      </w:r>
      <w:r w:rsidRPr="00451C9D">
        <w:rPr>
          <w:rFonts w:ascii="Arial" w:eastAsia="Arial" w:hAnsi="Arial" w:cs="Arial"/>
          <w:sz w:val="24"/>
          <w:szCs w:val="24"/>
          <w:lang w:val="en-US"/>
        </w:rPr>
        <w:t>,</w:t>
      </w:r>
      <w:r w:rsidRPr="00451C9D">
        <w:rPr>
          <w:rFonts w:ascii="Arial" w:eastAsia="Arial" w:hAnsi="Arial" w:cs="Arial"/>
          <w:sz w:val="24"/>
          <w:szCs w:val="24"/>
        </w:rPr>
        <w:t>9</w:t>
      </w:r>
      <w:r w:rsidRPr="00451C9D">
        <w:rPr>
          <w:rFonts w:ascii="Arial" w:eastAsia="Arial" w:hAnsi="Arial" w:cs="Arial"/>
          <w:sz w:val="24"/>
          <w:szCs w:val="24"/>
          <w:lang w:val="en-US"/>
        </w:rPr>
        <w:t xml:space="preserve">39 </w:t>
      </w:r>
      <w:r w:rsidRPr="00451C9D">
        <w:rPr>
          <w:rFonts w:ascii="Arial" w:eastAsia="Arial" w:hAnsi="Arial" w:cs="Arial"/>
          <w:sz w:val="24"/>
          <w:szCs w:val="24"/>
        </w:rPr>
        <w:t xml:space="preserve">CSR </w:t>
      </w:r>
    </w:p>
    <w:p w14:paraId="70EB9420" w14:textId="189E7C59" w:rsidR="00E6743A" w:rsidRDefault="00E6743A" w:rsidP="00451C9D">
      <w:pPr>
        <w:widowControl/>
        <w:ind w:left="426" w:firstLine="567"/>
        <w:jc w:val="both"/>
        <w:rPr>
          <w:rFonts w:ascii="Arial" w:eastAsia="Arial" w:hAnsi="Arial" w:cs="Arial"/>
          <w:sz w:val="24"/>
          <w:szCs w:val="24"/>
        </w:rPr>
      </w:pPr>
    </w:p>
    <w:p w14:paraId="13152B64" w14:textId="77777777" w:rsidR="00E6743A" w:rsidRPr="00451C9D" w:rsidRDefault="00E6743A" w:rsidP="00451C9D">
      <w:pPr>
        <w:widowControl/>
        <w:ind w:left="426" w:firstLine="567"/>
        <w:jc w:val="both"/>
        <w:rPr>
          <w:rFonts w:ascii="Arial" w:eastAsia="Arial" w:hAnsi="Arial" w:cs="Arial"/>
          <w:sz w:val="24"/>
          <w:szCs w:val="24"/>
        </w:rPr>
      </w:pPr>
    </w:p>
    <w:p w14:paraId="6B8666DD" w14:textId="77777777" w:rsidR="00451C9D" w:rsidRPr="00451C9D" w:rsidRDefault="00451C9D" w:rsidP="00451C9D">
      <w:pPr>
        <w:widowControl/>
        <w:ind w:left="426"/>
        <w:jc w:val="both"/>
        <w:rPr>
          <w:rFonts w:ascii="Arial" w:eastAsia="Arial" w:hAnsi="Arial" w:cs="Arial"/>
          <w:sz w:val="24"/>
          <w:szCs w:val="24"/>
          <w:lang w:val="en-US"/>
        </w:rPr>
      </w:pPr>
      <w:r w:rsidRPr="00451C9D">
        <w:rPr>
          <w:rFonts w:ascii="Arial" w:eastAsia="Arial" w:hAnsi="Arial" w:cs="Arial"/>
          <w:sz w:val="24"/>
          <w:szCs w:val="24"/>
          <w:lang w:val="en-US"/>
        </w:rPr>
        <w:t>The explanation regarding the linear regression equation above is as follows:</w:t>
      </w:r>
    </w:p>
    <w:p w14:paraId="7F59AA59" w14:textId="2E4982A1" w:rsidR="00923EFD" w:rsidRPr="00DE6136" w:rsidRDefault="008D62B2" w:rsidP="008D62B2">
      <w:pPr>
        <w:pStyle w:val="ListParagraph"/>
        <w:widowControl/>
        <w:numPr>
          <w:ilvl w:val="0"/>
          <w:numId w:val="3"/>
        </w:numPr>
        <w:jc w:val="both"/>
        <w:rPr>
          <w:rFonts w:ascii="Arial" w:eastAsia="Arial" w:hAnsi="Arial" w:cs="Arial"/>
          <w:sz w:val="24"/>
          <w:szCs w:val="24"/>
        </w:rPr>
      </w:pPr>
      <w:r w:rsidRPr="008D62B2">
        <w:rPr>
          <w:rFonts w:cs="Calibri"/>
          <w:lang w:eastAsia="en-ID"/>
        </w:rPr>
        <w:t>If CSR increases by 1 point assuming other values are constant, then the company value increases by 1.939 points</w:t>
      </w:r>
      <w:r w:rsidR="00DE6136">
        <w:rPr>
          <w:rFonts w:cs="Calibri"/>
          <w:lang w:val="en-US" w:eastAsia="en-ID"/>
        </w:rPr>
        <w:t>.</w:t>
      </w:r>
    </w:p>
    <w:p w14:paraId="5525262A" w14:textId="77777777" w:rsidR="00DE6136" w:rsidRPr="008D62B2" w:rsidRDefault="00DE6136" w:rsidP="00DE6136">
      <w:pPr>
        <w:pStyle w:val="ListParagraph"/>
        <w:widowControl/>
        <w:ind w:left="786"/>
        <w:jc w:val="both"/>
        <w:rPr>
          <w:rFonts w:ascii="Arial" w:eastAsia="Arial" w:hAnsi="Arial" w:cs="Arial"/>
          <w:sz w:val="24"/>
          <w:szCs w:val="24"/>
        </w:rPr>
      </w:pPr>
    </w:p>
    <w:p w14:paraId="301C84A7" w14:textId="0D3604A2" w:rsidR="008A2B80" w:rsidRDefault="008A2B80" w:rsidP="008A2B80">
      <w:pPr>
        <w:widowControl/>
        <w:ind w:left="426"/>
        <w:jc w:val="both"/>
        <w:rPr>
          <w:rFonts w:ascii="Arial" w:eastAsia="Arial" w:hAnsi="Arial" w:cs="Arial"/>
          <w:b/>
          <w:sz w:val="24"/>
          <w:szCs w:val="24"/>
          <w:lang w:val="en-US"/>
        </w:rPr>
      </w:pPr>
      <w:r>
        <w:rPr>
          <w:rFonts w:ascii="Arial" w:eastAsia="Arial" w:hAnsi="Arial" w:cs="Arial"/>
          <w:b/>
          <w:sz w:val="24"/>
          <w:szCs w:val="24"/>
          <w:lang w:val="en-US"/>
        </w:rPr>
        <w:t>T Test</w:t>
      </w:r>
    </w:p>
    <w:p w14:paraId="6C5C797D" w14:textId="77777777" w:rsidR="00DE6136" w:rsidRDefault="00DE6136" w:rsidP="008A2B80">
      <w:pPr>
        <w:widowControl/>
        <w:ind w:left="426"/>
        <w:jc w:val="both"/>
        <w:rPr>
          <w:rFonts w:ascii="Arial" w:eastAsia="Arial" w:hAnsi="Arial" w:cs="Arial"/>
          <w:b/>
          <w:sz w:val="24"/>
          <w:szCs w:val="24"/>
          <w:lang w:val="en-US"/>
        </w:rPr>
      </w:pPr>
    </w:p>
    <w:p w14:paraId="3F9B8823" w14:textId="3592D7E3" w:rsidR="00D97218" w:rsidRPr="008A2B80" w:rsidRDefault="00D97218" w:rsidP="00D97218">
      <w:pPr>
        <w:widowControl/>
        <w:ind w:left="426" w:firstLine="567"/>
        <w:jc w:val="center"/>
        <w:rPr>
          <w:rFonts w:ascii="Arial" w:eastAsia="Arial" w:hAnsi="Arial" w:cs="Arial"/>
          <w:b/>
          <w:sz w:val="24"/>
          <w:szCs w:val="24"/>
          <w:lang w:val="en-US"/>
        </w:rPr>
      </w:pPr>
      <w:r>
        <w:rPr>
          <w:rFonts w:ascii="Arial" w:eastAsia="Arial" w:hAnsi="Arial" w:cs="Arial"/>
          <w:b/>
          <w:sz w:val="24"/>
          <w:szCs w:val="24"/>
          <w:lang w:val="en-US"/>
        </w:rPr>
        <w:t>Table 7. T Test</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1134"/>
        <w:gridCol w:w="1244"/>
        <w:gridCol w:w="876"/>
      </w:tblGrid>
      <w:tr w:rsidR="00295BF3" w:rsidRPr="00C54038" w14:paraId="4BA3DE83" w14:textId="77777777" w:rsidTr="00D8467B">
        <w:tc>
          <w:tcPr>
            <w:tcW w:w="1696" w:type="dxa"/>
            <w:shd w:val="clear" w:color="auto" w:fill="auto"/>
          </w:tcPr>
          <w:p w14:paraId="1BE7FF8A" w14:textId="77777777" w:rsidR="00295BF3" w:rsidRPr="00C54038" w:rsidRDefault="00295BF3" w:rsidP="00D8467B">
            <w:pPr>
              <w:jc w:val="center"/>
              <w:rPr>
                <w:rFonts w:cs="Arial"/>
                <w:b/>
                <w:bCs/>
                <w:lang w:eastAsia="ja-JP"/>
              </w:rPr>
            </w:pPr>
            <w:r w:rsidRPr="00C54038">
              <w:rPr>
                <w:rFonts w:cs="Arial"/>
                <w:b/>
                <w:bCs/>
                <w:lang w:eastAsia="ja-JP"/>
              </w:rPr>
              <w:t>Variabel</w:t>
            </w:r>
          </w:p>
        </w:tc>
        <w:tc>
          <w:tcPr>
            <w:tcW w:w="1701" w:type="dxa"/>
            <w:shd w:val="clear" w:color="auto" w:fill="auto"/>
          </w:tcPr>
          <w:p w14:paraId="2E430E8A" w14:textId="77777777" w:rsidR="00295BF3" w:rsidRPr="00C54038" w:rsidRDefault="00295BF3" w:rsidP="00D8467B">
            <w:pPr>
              <w:jc w:val="center"/>
              <w:rPr>
                <w:rFonts w:cs="Arial"/>
                <w:b/>
                <w:bCs/>
                <w:lang w:eastAsia="ja-JP"/>
              </w:rPr>
            </w:pPr>
            <w:r w:rsidRPr="00C54038">
              <w:rPr>
                <w:rFonts w:cs="Arial"/>
                <w:b/>
                <w:bCs/>
                <w:lang w:eastAsia="ja-JP"/>
              </w:rPr>
              <w:t xml:space="preserve">Coefficient </w:t>
            </w:r>
          </w:p>
        </w:tc>
        <w:tc>
          <w:tcPr>
            <w:tcW w:w="1134" w:type="dxa"/>
            <w:shd w:val="clear" w:color="auto" w:fill="auto"/>
          </w:tcPr>
          <w:p w14:paraId="5D918535" w14:textId="77777777" w:rsidR="00295BF3" w:rsidRPr="00C54038" w:rsidRDefault="00295BF3" w:rsidP="00D8467B">
            <w:pPr>
              <w:jc w:val="center"/>
              <w:rPr>
                <w:rFonts w:cs="Arial"/>
                <w:b/>
                <w:bCs/>
                <w:lang w:eastAsia="ja-JP"/>
              </w:rPr>
            </w:pPr>
            <w:r w:rsidRPr="00C54038">
              <w:rPr>
                <w:rFonts w:cs="Arial"/>
                <w:b/>
                <w:bCs/>
                <w:lang w:eastAsia="ja-JP"/>
              </w:rPr>
              <w:t>Std. error</w:t>
            </w:r>
          </w:p>
        </w:tc>
        <w:tc>
          <w:tcPr>
            <w:tcW w:w="1244" w:type="dxa"/>
            <w:shd w:val="clear" w:color="auto" w:fill="auto"/>
          </w:tcPr>
          <w:p w14:paraId="32B025DF" w14:textId="77777777" w:rsidR="00295BF3" w:rsidRPr="00C54038" w:rsidRDefault="00295BF3" w:rsidP="00D8467B">
            <w:pPr>
              <w:jc w:val="center"/>
              <w:rPr>
                <w:rFonts w:cs="Arial"/>
                <w:b/>
                <w:bCs/>
                <w:lang w:eastAsia="ja-JP"/>
              </w:rPr>
            </w:pPr>
            <w:r w:rsidRPr="00C54038">
              <w:rPr>
                <w:rFonts w:cs="Arial"/>
                <w:b/>
                <w:bCs/>
                <w:lang w:eastAsia="ja-JP"/>
              </w:rPr>
              <w:t>t-Statistic</w:t>
            </w:r>
          </w:p>
        </w:tc>
        <w:tc>
          <w:tcPr>
            <w:tcW w:w="876" w:type="dxa"/>
            <w:shd w:val="clear" w:color="auto" w:fill="auto"/>
          </w:tcPr>
          <w:p w14:paraId="2AA9B57A" w14:textId="77777777" w:rsidR="00295BF3" w:rsidRPr="00C54038" w:rsidRDefault="00295BF3" w:rsidP="00D8467B">
            <w:pPr>
              <w:jc w:val="center"/>
              <w:rPr>
                <w:rFonts w:cs="Arial"/>
                <w:b/>
                <w:bCs/>
                <w:lang w:eastAsia="ja-JP"/>
              </w:rPr>
            </w:pPr>
            <w:r w:rsidRPr="00C54038">
              <w:rPr>
                <w:rFonts w:cs="Arial"/>
                <w:b/>
                <w:bCs/>
                <w:lang w:eastAsia="ja-JP"/>
              </w:rPr>
              <w:t>Prob</w:t>
            </w:r>
          </w:p>
        </w:tc>
      </w:tr>
      <w:tr w:rsidR="00295BF3" w:rsidRPr="00C54038" w14:paraId="18ABFDAD" w14:textId="77777777" w:rsidTr="00D8467B">
        <w:tc>
          <w:tcPr>
            <w:tcW w:w="1696" w:type="dxa"/>
            <w:shd w:val="clear" w:color="auto" w:fill="auto"/>
          </w:tcPr>
          <w:p w14:paraId="689C3595" w14:textId="77777777" w:rsidR="00295BF3" w:rsidRPr="00C54038" w:rsidRDefault="00295BF3" w:rsidP="00D8467B">
            <w:pPr>
              <w:jc w:val="center"/>
              <w:rPr>
                <w:rFonts w:cs="Arial"/>
                <w:lang w:eastAsia="ja-JP"/>
              </w:rPr>
            </w:pPr>
            <w:r w:rsidRPr="00C54038">
              <w:rPr>
                <w:rFonts w:cs="Arial"/>
                <w:lang w:eastAsia="ja-JP"/>
              </w:rPr>
              <w:t xml:space="preserve">C </w:t>
            </w:r>
          </w:p>
        </w:tc>
        <w:tc>
          <w:tcPr>
            <w:tcW w:w="1701" w:type="dxa"/>
            <w:shd w:val="clear" w:color="auto" w:fill="auto"/>
          </w:tcPr>
          <w:p w14:paraId="4BC087D8" w14:textId="77777777" w:rsidR="00295BF3" w:rsidRPr="00C54038" w:rsidRDefault="00295BF3" w:rsidP="00D8467B">
            <w:pPr>
              <w:jc w:val="center"/>
              <w:rPr>
                <w:rFonts w:cs="Arial"/>
                <w:lang w:eastAsia="ja-JP"/>
              </w:rPr>
            </w:pPr>
            <w:r w:rsidRPr="00C54038">
              <w:rPr>
                <w:rFonts w:cs="Arial"/>
                <w:lang w:eastAsia="ja-JP"/>
              </w:rPr>
              <w:t>0.717967</w:t>
            </w:r>
          </w:p>
        </w:tc>
        <w:tc>
          <w:tcPr>
            <w:tcW w:w="1134" w:type="dxa"/>
            <w:shd w:val="clear" w:color="auto" w:fill="auto"/>
          </w:tcPr>
          <w:p w14:paraId="342846D5" w14:textId="77777777" w:rsidR="00295BF3" w:rsidRPr="00C54038" w:rsidRDefault="00295BF3" w:rsidP="00D8467B">
            <w:pPr>
              <w:jc w:val="center"/>
              <w:rPr>
                <w:rFonts w:cs="Arial"/>
                <w:lang w:eastAsia="ja-JP"/>
              </w:rPr>
            </w:pPr>
            <w:r w:rsidRPr="00C54038">
              <w:rPr>
                <w:rFonts w:cs="Arial"/>
                <w:lang w:eastAsia="ja-JP"/>
              </w:rPr>
              <w:t>0.082631</w:t>
            </w:r>
          </w:p>
        </w:tc>
        <w:tc>
          <w:tcPr>
            <w:tcW w:w="1244" w:type="dxa"/>
            <w:shd w:val="clear" w:color="auto" w:fill="auto"/>
          </w:tcPr>
          <w:p w14:paraId="0832194C" w14:textId="77777777" w:rsidR="00295BF3" w:rsidRPr="00C54038" w:rsidRDefault="00295BF3" w:rsidP="00D8467B">
            <w:pPr>
              <w:jc w:val="center"/>
              <w:rPr>
                <w:rFonts w:cs="Arial"/>
                <w:lang w:eastAsia="ja-JP"/>
              </w:rPr>
            </w:pPr>
            <w:r w:rsidRPr="00C54038">
              <w:rPr>
                <w:rFonts w:cs="Arial"/>
                <w:lang w:eastAsia="ja-JP"/>
              </w:rPr>
              <w:t>8.68880</w:t>
            </w:r>
          </w:p>
        </w:tc>
        <w:tc>
          <w:tcPr>
            <w:tcW w:w="876" w:type="dxa"/>
            <w:shd w:val="clear" w:color="auto" w:fill="auto"/>
          </w:tcPr>
          <w:p w14:paraId="050129C4" w14:textId="77777777" w:rsidR="00295BF3" w:rsidRPr="00C54038" w:rsidRDefault="00295BF3" w:rsidP="00D8467B">
            <w:pPr>
              <w:jc w:val="center"/>
              <w:rPr>
                <w:rFonts w:cs="Arial"/>
                <w:lang w:eastAsia="ja-JP"/>
              </w:rPr>
            </w:pPr>
            <w:r w:rsidRPr="00C54038">
              <w:rPr>
                <w:rFonts w:cs="Arial"/>
                <w:lang w:eastAsia="ja-JP"/>
              </w:rPr>
              <w:t>0.000</w:t>
            </w:r>
          </w:p>
        </w:tc>
      </w:tr>
      <w:tr w:rsidR="00295BF3" w:rsidRPr="00C54038" w14:paraId="19C08478" w14:textId="77777777" w:rsidTr="00D8467B">
        <w:tc>
          <w:tcPr>
            <w:tcW w:w="1696" w:type="dxa"/>
            <w:shd w:val="clear" w:color="auto" w:fill="auto"/>
          </w:tcPr>
          <w:p w14:paraId="192F958A" w14:textId="77777777" w:rsidR="00295BF3" w:rsidRPr="00C54038" w:rsidRDefault="00295BF3" w:rsidP="00D8467B">
            <w:pPr>
              <w:jc w:val="center"/>
              <w:rPr>
                <w:rFonts w:cs="Arial"/>
                <w:lang w:eastAsia="ja-JP"/>
              </w:rPr>
            </w:pPr>
            <w:r w:rsidRPr="00C54038">
              <w:rPr>
                <w:rFonts w:cs="Arial"/>
                <w:lang w:eastAsia="ja-JP"/>
              </w:rPr>
              <w:t>CSR</w:t>
            </w:r>
          </w:p>
        </w:tc>
        <w:tc>
          <w:tcPr>
            <w:tcW w:w="1701" w:type="dxa"/>
            <w:shd w:val="clear" w:color="auto" w:fill="auto"/>
          </w:tcPr>
          <w:p w14:paraId="518891BE" w14:textId="77777777" w:rsidR="00295BF3" w:rsidRPr="00C54038" w:rsidRDefault="00295BF3" w:rsidP="00D8467B">
            <w:pPr>
              <w:jc w:val="center"/>
              <w:rPr>
                <w:rFonts w:cs="Arial"/>
                <w:lang w:eastAsia="ja-JP"/>
              </w:rPr>
            </w:pPr>
            <w:r w:rsidRPr="00C54038">
              <w:rPr>
                <w:rFonts w:cs="Arial"/>
                <w:lang w:eastAsia="ja-JP"/>
              </w:rPr>
              <w:t>1.939763</w:t>
            </w:r>
          </w:p>
        </w:tc>
        <w:tc>
          <w:tcPr>
            <w:tcW w:w="1134" w:type="dxa"/>
            <w:shd w:val="clear" w:color="auto" w:fill="auto"/>
          </w:tcPr>
          <w:p w14:paraId="7F4C1237" w14:textId="77777777" w:rsidR="00295BF3" w:rsidRPr="00C54038" w:rsidRDefault="00295BF3" w:rsidP="00D8467B">
            <w:pPr>
              <w:jc w:val="center"/>
              <w:rPr>
                <w:rFonts w:cs="Arial"/>
                <w:lang w:eastAsia="ja-JP"/>
              </w:rPr>
            </w:pPr>
            <w:r w:rsidRPr="00C54038">
              <w:rPr>
                <w:rFonts w:cs="Arial"/>
                <w:lang w:eastAsia="ja-JP"/>
              </w:rPr>
              <w:t>0.278272</w:t>
            </w:r>
          </w:p>
        </w:tc>
        <w:tc>
          <w:tcPr>
            <w:tcW w:w="1244" w:type="dxa"/>
            <w:shd w:val="clear" w:color="auto" w:fill="auto"/>
          </w:tcPr>
          <w:p w14:paraId="2463D346" w14:textId="77777777" w:rsidR="00295BF3" w:rsidRPr="00C54038" w:rsidRDefault="00295BF3" w:rsidP="00D8467B">
            <w:pPr>
              <w:jc w:val="center"/>
              <w:rPr>
                <w:rFonts w:cs="Arial"/>
                <w:lang w:eastAsia="ja-JP"/>
              </w:rPr>
            </w:pPr>
            <w:r w:rsidRPr="00C54038">
              <w:rPr>
                <w:rFonts w:cs="Arial"/>
                <w:lang w:eastAsia="ja-JP"/>
              </w:rPr>
              <w:t>6.970736</w:t>
            </w:r>
          </w:p>
        </w:tc>
        <w:tc>
          <w:tcPr>
            <w:tcW w:w="876" w:type="dxa"/>
            <w:shd w:val="clear" w:color="auto" w:fill="auto"/>
          </w:tcPr>
          <w:p w14:paraId="24ACF1AF" w14:textId="77777777" w:rsidR="00295BF3" w:rsidRPr="00C54038" w:rsidRDefault="00295BF3" w:rsidP="00D8467B">
            <w:pPr>
              <w:jc w:val="center"/>
              <w:rPr>
                <w:rFonts w:cs="Arial"/>
                <w:lang w:eastAsia="ja-JP"/>
              </w:rPr>
            </w:pPr>
            <w:r w:rsidRPr="00C54038">
              <w:rPr>
                <w:rFonts w:cs="Arial"/>
                <w:lang w:eastAsia="ja-JP"/>
              </w:rPr>
              <w:t>0.000</w:t>
            </w:r>
          </w:p>
        </w:tc>
      </w:tr>
    </w:tbl>
    <w:p w14:paraId="35BCE143" w14:textId="77777777" w:rsidR="00C162A3" w:rsidRPr="00215231" w:rsidRDefault="00C162A3" w:rsidP="00DF4E8E">
      <w:pPr>
        <w:widowControl/>
        <w:ind w:left="426"/>
        <w:jc w:val="center"/>
        <w:rPr>
          <w:rFonts w:ascii="Arial" w:eastAsia="Arial" w:hAnsi="Arial" w:cs="Arial"/>
          <w:bCs/>
          <w:sz w:val="24"/>
          <w:szCs w:val="24"/>
          <w:lang w:val="en-US"/>
        </w:rPr>
      </w:pPr>
      <w:r>
        <w:rPr>
          <w:rFonts w:ascii="Arial" w:eastAsia="Arial" w:hAnsi="Arial" w:cs="Arial"/>
          <w:bCs/>
          <w:sz w:val="24"/>
          <w:szCs w:val="24"/>
          <w:lang w:val="en-US"/>
        </w:rPr>
        <w:t>Source: Secondary Data Processed, 2023</w:t>
      </w:r>
    </w:p>
    <w:p w14:paraId="430519D5" w14:textId="77777777" w:rsidR="00C162A3" w:rsidRDefault="00C162A3" w:rsidP="00C162A3">
      <w:pPr>
        <w:widowControl/>
        <w:jc w:val="both"/>
        <w:rPr>
          <w:rFonts w:ascii="Arial" w:eastAsia="Arial" w:hAnsi="Arial" w:cs="Arial"/>
          <w:bCs/>
          <w:sz w:val="24"/>
          <w:szCs w:val="24"/>
          <w:lang w:val="en-US"/>
        </w:rPr>
      </w:pPr>
    </w:p>
    <w:p w14:paraId="1E3F9279" w14:textId="0A539198" w:rsidR="00295BF3" w:rsidRPr="00295BF3" w:rsidRDefault="00295BF3" w:rsidP="00295BF3">
      <w:pPr>
        <w:widowControl/>
        <w:ind w:left="426"/>
        <w:jc w:val="both"/>
        <w:rPr>
          <w:rFonts w:ascii="Arial" w:eastAsia="Arial" w:hAnsi="Arial" w:cs="Arial"/>
          <w:bCs/>
          <w:sz w:val="24"/>
          <w:szCs w:val="24"/>
          <w:lang w:val="en-US"/>
        </w:rPr>
      </w:pPr>
      <w:r w:rsidRPr="00295BF3">
        <w:rPr>
          <w:rFonts w:ascii="Arial" w:eastAsia="Arial" w:hAnsi="Arial" w:cs="Arial"/>
          <w:bCs/>
          <w:sz w:val="24"/>
          <w:szCs w:val="24"/>
          <w:lang w:val="en-US"/>
        </w:rPr>
        <w:t>Based on the T test above, it was found that:</w:t>
      </w:r>
    </w:p>
    <w:p w14:paraId="4FE78741" w14:textId="32ADAAEB" w:rsidR="00CD1D52" w:rsidRDefault="00CD1D52" w:rsidP="00CD1D52">
      <w:pPr>
        <w:pStyle w:val="ListParagraph"/>
        <w:widowControl/>
        <w:numPr>
          <w:ilvl w:val="0"/>
          <w:numId w:val="5"/>
        </w:numPr>
        <w:jc w:val="both"/>
        <w:rPr>
          <w:rFonts w:ascii="Arial" w:eastAsia="Arial" w:hAnsi="Arial" w:cs="Arial"/>
          <w:bCs/>
          <w:sz w:val="24"/>
          <w:szCs w:val="24"/>
        </w:rPr>
      </w:pPr>
      <w:r w:rsidRPr="00CD1D52">
        <w:rPr>
          <w:rFonts w:cs="Calibri"/>
          <w:lang w:eastAsia="en-ID"/>
        </w:rPr>
        <w:t>The</w:t>
      </w:r>
      <w:r w:rsidRPr="00CD1D52">
        <w:rPr>
          <w:rFonts w:ascii="Arial" w:eastAsia="Arial" w:hAnsi="Arial" w:cs="Arial"/>
          <w:bCs/>
          <w:sz w:val="24"/>
          <w:szCs w:val="24"/>
        </w:rPr>
        <w:t xml:space="preserve"> influence of corporate social responsibility on company value is 0.000 &lt;0.05. Thus, H0 is rejected and H1 is accepted, which means that corporate social responsibility has a positive and significant effect on company value</w:t>
      </w:r>
    </w:p>
    <w:p w14:paraId="4B82D29C" w14:textId="77777777" w:rsidR="00DE6136" w:rsidRPr="00CD1D52" w:rsidRDefault="00DE6136" w:rsidP="00DE6136">
      <w:pPr>
        <w:pStyle w:val="ListParagraph"/>
        <w:widowControl/>
        <w:ind w:left="720"/>
        <w:jc w:val="both"/>
        <w:rPr>
          <w:rFonts w:ascii="Arial" w:eastAsia="Arial" w:hAnsi="Arial" w:cs="Arial"/>
          <w:bCs/>
          <w:sz w:val="24"/>
          <w:szCs w:val="24"/>
        </w:rPr>
      </w:pPr>
    </w:p>
    <w:p w14:paraId="5FF7B1F0" w14:textId="74D69152" w:rsidR="00EF63E0" w:rsidRDefault="00EF63E0" w:rsidP="00EF63E0">
      <w:pPr>
        <w:widowControl/>
        <w:ind w:left="360"/>
        <w:jc w:val="both"/>
        <w:rPr>
          <w:rFonts w:ascii="Arial" w:eastAsia="Arial" w:hAnsi="Arial" w:cs="Arial"/>
          <w:b/>
          <w:sz w:val="24"/>
          <w:szCs w:val="24"/>
          <w:lang w:val="en-US"/>
        </w:rPr>
      </w:pPr>
      <w:r>
        <w:rPr>
          <w:rFonts w:ascii="Arial" w:eastAsia="Arial" w:hAnsi="Arial" w:cs="Arial"/>
          <w:b/>
          <w:sz w:val="24"/>
          <w:szCs w:val="24"/>
          <w:lang w:val="en-US"/>
        </w:rPr>
        <w:t>Coefficient of Determination Test</w:t>
      </w:r>
    </w:p>
    <w:p w14:paraId="6691F125" w14:textId="77777777" w:rsidR="00DE6136" w:rsidRDefault="00DE6136" w:rsidP="00EF63E0">
      <w:pPr>
        <w:widowControl/>
        <w:ind w:left="360"/>
        <w:jc w:val="both"/>
        <w:rPr>
          <w:rFonts w:ascii="Arial" w:eastAsia="Arial" w:hAnsi="Arial" w:cs="Arial"/>
          <w:b/>
          <w:sz w:val="24"/>
          <w:szCs w:val="24"/>
          <w:lang w:val="en-US"/>
        </w:rPr>
      </w:pPr>
    </w:p>
    <w:p w14:paraId="508C48DB" w14:textId="7EC71BC2" w:rsidR="00D97218" w:rsidRDefault="00D97218" w:rsidP="00D97218">
      <w:pPr>
        <w:widowControl/>
        <w:ind w:left="426" w:firstLine="567"/>
        <w:jc w:val="center"/>
        <w:rPr>
          <w:rFonts w:ascii="Arial" w:eastAsia="Arial" w:hAnsi="Arial" w:cs="Arial"/>
          <w:b/>
          <w:sz w:val="24"/>
          <w:szCs w:val="24"/>
          <w:lang w:val="en-US"/>
        </w:rPr>
      </w:pPr>
      <w:r>
        <w:rPr>
          <w:rFonts w:ascii="Arial" w:eastAsia="Arial" w:hAnsi="Arial" w:cs="Arial"/>
          <w:b/>
          <w:sz w:val="24"/>
          <w:szCs w:val="24"/>
          <w:lang w:val="en-US"/>
        </w:rPr>
        <w:t xml:space="preserve">Table 8. Coefficient </w:t>
      </w:r>
      <w:r w:rsidRPr="00D97218">
        <w:rPr>
          <w:rFonts w:ascii="Arial" w:eastAsia="Arial" w:hAnsi="Arial" w:cs="Arial"/>
          <w:b/>
          <w:bCs/>
          <w:sz w:val="24"/>
          <w:szCs w:val="24"/>
          <w:lang w:val="en-US"/>
        </w:rPr>
        <w:t>Determintation</w:t>
      </w:r>
      <w:r>
        <w:rPr>
          <w:rFonts w:ascii="Arial" w:eastAsia="Arial" w:hAnsi="Arial" w:cs="Arial"/>
          <w:b/>
          <w:sz w:val="24"/>
          <w:szCs w:val="24"/>
          <w:lang w:val="en-US"/>
        </w:rPr>
        <w:t xml:space="preserve">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9"/>
      </w:tblGrid>
      <w:tr w:rsidR="007F2762" w:rsidRPr="00C54038" w14:paraId="1DC881B8" w14:textId="77777777" w:rsidTr="00D8467B">
        <w:trPr>
          <w:jc w:val="center"/>
        </w:trPr>
        <w:tc>
          <w:tcPr>
            <w:tcW w:w="1413" w:type="dxa"/>
            <w:shd w:val="clear" w:color="auto" w:fill="auto"/>
          </w:tcPr>
          <w:p w14:paraId="33047697" w14:textId="77777777" w:rsidR="007F2762" w:rsidRPr="00C54038" w:rsidRDefault="007F2762" w:rsidP="00D8467B">
            <w:pPr>
              <w:jc w:val="center"/>
              <w:rPr>
                <w:rFonts w:cs="Arial"/>
                <w:b/>
                <w:bCs/>
                <w:lang w:eastAsia="ja-JP"/>
              </w:rPr>
            </w:pPr>
            <w:r w:rsidRPr="00C54038">
              <w:rPr>
                <w:rFonts w:cs="Arial"/>
                <w:b/>
                <w:bCs/>
                <w:lang w:eastAsia="ja-JP"/>
              </w:rPr>
              <w:t>R-Squared</w:t>
            </w:r>
          </w:p>
        </w:tc>
        <w:tc>
          <w:tcPr>
            <w:tcW w:w="2409" w:type="dxa"/>
            <w:shd w:val="clear" w:color="auto" w:fill="auto"/>
          </w:tcPr>
          <w:p w14:paraId="4D46521A" w14:textId="77777777" w:rsidR="007F2762" w:rsidRPr="00C54038" w:rsidRDefault="007F2762" w:rsidP="00D8467B">
            <w:pPr>
              <w:jc w:val="center"/>
              <w:rPr>
                <w:rFonts w:cs="Arial"/>
                <w:b/>
                <w:bCs/>
                <w:lang w:eastAsia="ja-JP"/>
              </w:rPr>
            </w:pPr>
            <w:r w:rsidRPr="00C54038">
              <w:rPr>
                <w:rFonts w:cs="Arial"/>
                <w:b/>
                <w:bCs/>
                <w:lang w:eastAsia="ja-JP"/>
              </w:rPr>
              <w:t>Adjusted R-Squared</w:t>
            </w:r>
          </w:p>
        </w:tc>
      </w:tr>
      <w:tr w:rsidR="007F2762" w:rsidRPr="00C54038" w14:paraId="5C684D8C" w14:textId="77777777" w:rsidTr="00D8467B">
        <w:trPr>
          <w:jc w:val="center"/>
        </w:trPr>
        <w:tc>
          <w:tcPr>
            <w:tcW w:w="1413" w:type="dxa"/>
            <w:shd w:val="clear" w:color="auto" w:fill="auto"/>
          </w:tcPr>
          <w:p w14:paraId="30253441" w14:textId="77777777" w:rsidR="007F2762" w:rsidRPr="00C54038" w:rsidRDefault="007F2762" w:rsidP="00D8467B">
            <w:pPr>
              <w:jc w:val="center"/>
              <w:rPr>
                <w:rFonts w:cs="Arial"/>
                <w:lang w:eastAsia="ja-JP"/>
              </w:rPr>
            </w:pPr>
            <w:r w:rsidRPr="00C54038">
              <w:rPr>
                <w:rFonts w:cs="Arial"/>
                <w:lang w:eastAsia="ja-JP"/>
              </w:rPr>
              <w:t>0,916950</w:t>
            </w:r>
          </w:p>
        </w:tc>
        <w:tc>
          <w:tcPr>
            <w:tcW w:w="2409" w:type="dxa"/>
            <w:shd w:val="clear" w:color="auto" w:fill="auto"/>
          </w:tcPr>
          <w:p w14:paraId="1E52753C" w14:textId="77777777" w:rsidR="007F2762" w:rsidRPr="00C54038" w:rsidRDefault="007F2762" w:rsidP="00D8467B">
            <w:pPr>
              <w:jc w:val="center"/>
              <w:rPr>
                <w:rFonts w:cs="Arial"/>
                <w:lang w:eastAsia="ja-JP"/>
              </w:rPr>
            </w:pPr>
            <w:r w:rsidRPr="00C54038">
              <w:rPr>
                <w:rFonts w:cs="Arial"/>
                <w:lang w:eastAsia="ja-JP"/>
              </w:rPr>
              <w:t>0,900001</w:t>
            </w:r>
          </w:p>
        </w:tc>
      </w:tr>
    </w:tbl>
    <w:p w14:paraId="1F86B1C2" w14:textId="77777777" w:rsidR="00C162A3" w:rsidRPr="00215231" w:rsidRDefault="00C162A3" w:rsidP="00DF4E8E">
      <w:pPr>
        <w:widowControl/>
        <w:ind w:left="426"/>
        <w:jc w:val="center"/>
        <w:rPr>
          <w:rFonts w:ascii="Arial" w:eastAsia="Arial" w:hAnsi="Arial" w:cs="Arial"/>
          <w:bCs/>
          <w:sz w:val="24"/>
          <w:szCs w:val="24"/>
          <w:lang w:val="en-US"/>
        </w:rPr>
      </w:pPr>
      <w:r>
        <w:rPr>
          <w:rFonts w:ascii="Arial" w:eastAsia="Arial" w:hAnsi="Arial" w:cs="Arial"/>
          <w:bCs/>
          <w:sz w:val="24"/>
          <w:szCs w:val="24"/>
          <w:lang w:val="en-US"/>
        </w:rPr>
        <w:t>Source: Secondary Data Processed, 2023</w:t>
      </w:r>
    </w:p>
    <w:p w14:paraId="59DA1C90" w14:textId="77777777" w:rsidR="00C162A3" w:rsidRDefault="00C162A3" w:rsidP="007F2762">
      <w:pPr>
        <w:widowControl/>
        <w:ind w:left="426" w:firstLine="567"/>
        <w:jc w:val="both"/>
        <w:rPr>
          <w:rFonts w:ascii="Arial" w:eastAsia="Arial" w:hAnsi="Arial" w:cs="Arial"/>
          <w:bCs/>
          <w:sz w:val="24"/>
          <w:szCs w:val="24"/>
        </w:rPr>
      </w:pPr>
    </w:p>
    <w:p w14:paraId="7E7BD1E9" w14:textId="07DD0A1D" w:rsidR="007F2762" w:rsidRDefault="007F2762" w:rsidP="007F2762">
      <w:pPr>
        <w:widowControl/>
        <w:ind w:left="426" w:firstLine="567"/>
        <w:jc w:val="both"/>
        <w:rPr>
          <w:rFonts w:ascii="Arial" w:eastAsia="Arial" w:hAnsi="Arial" w:cs="Arial"/>
          <w:bCs/>
          <w:sz w:val="24"/>
          <w:szCs w:val="24"/>
        </w:rPr>
      </w:pPr>
      <w:r w:rsidRPr="007F2762">
        <w:rPr>
          <w:rFonts w:ascii="Arial" w:eastAsia="Arial" w:hAnsi="Arial" w:cs="Arial"/>
          <w:bCs/>
          <w:sz w:val="24"/>
          <w:szCs w:val="24"/>
        </w:rPr>
        <w:t>Based on the picture and table above, the coefficient of determination for the Adjusted R Square regression model is 0.900001. This shows that the ability of the independent variable, namely CS, to explain the influence on the dependent variable, namely company value, is 90%. Meanwhile, the other 10% of the influence is explained by other variables not used in this research.</w:t>
      </w:r>
    </w:p>
    <w:p w14:paraId="45D99CB4" w14:textId="77777777" w:rsidR="00DE6136" w:rsidRPr="007F2762" w:rsidRDefault="00DE6136" w:rsidP="007F2762">
      <w:pPr>
        <w:widowControl/>
        <w:ind w:left="426" w:firstLine="567"/>
        <w:jc w:val="both"/>
        <w:rPr>
          <w:rFonts w:ascii="Arial" w:eastAsia="Arial" w:hAnsi="Arial" w:cs="Arial"/>
          <w:bCs/>
          <w:sz w:val="24"/>
          <w:szCs w:val="24"/>
        </w:rPr>
      </w:pPr>
    </w:p>
    <w:p w14:paraId="44C905D4" w14:textId="485D78A3" w:rsidR="00D528B5" w:rsidRDefault="00D528B5" w:rsidP="00D528B5">
      <w:pPr>
        <w:widowControl/>
        <w:ind w:left="360"/>
        <w:jc w:val="both"/>
        <w:rPr>
          <w:rFonts w:ascii="Arial" w:eastAsia="Arial" w:hAnsi="Arial" w:cs="Arial"/>
          <w:b/>
          <w:sz w:val="24"/>
          <w:szCs w:val="24"/>
          <w:lang w:val="en-US"/>
        </w:rPr>
      </w:pPr>
      <w:r>
        <w:rPr>
          <w:rFonts w:ascii="Arial" w:eastAsia="Arial" w:hAnsi="Arial" w:cs="Arial"/>
          <w:b/>
          <w:sz w:val="24"/>
          <w:szCs w:val="24"/>
          <w:lang w:val="en-US"/>
        </w:rPr>
        <w:t xml:space="preserve">Discussion </w:t>
      </w:r>
    </w:p>
    <w:p w14:paraId="44E9D77C" w14:textId="77777777" w:rsidR="00DE6136" w:rsidRDefault="00DE6136" w:rsidP="00D528B5">
      <w:pPr>
        <w:widowControl/>
        <w:ind w:left="360"/>
        <w:jc w:val="both"/>
        <w:rPr>
          <w:rFonts w:ascii="Arial" w:eastAsia="Arial" w:hAnsi="Arial" w:cs="Arial"/>
          <w:b/>
          <w:sz w:val="24"/>
          <w:szCs w:val="24"/>
          <w:lang w:val="en-US"/>
        </w:rPr>
      </w:pPr>
    </w:p>
    <w:p w14:paraId="288FB9CA" w14:textId="77777777" w:rsidR="00CD44ED" w:rsidRPr="00CD44ED" w:rsidRDefault="00CD44ED" w:rsidP="00CD44ED">
      <w:pPr>
        <w:widowControl/>
        <w:ind w:left="360"/>
        <w:jc w:val="both"/>
        <w:rPr>
          <w:rFonts w:ascii="Arial" w:eastAsia="Arial" w:hAnsi="Arial" w:cs="Arial"/>
          <w:b/>
          <w:sz w:val="24"/>
          <w:szCs w:val="24"/>
          <w:lang w:val="en-US"/>
        </w:rPr>
      </w:pPr>
      <w:r w:rsidRPr="00CD44ED">
        <w:rPr>
          <w:rFonts w:ascii="Arial" w:eastAsia="Arial" w:hAnsi="Arial" w:cs="Arial"/>
          <w:b/>
          <w:sz w:val="24"/>
          <w:szCs w:val="24"/>
          <w:lang w:val="en-US"/>
        </w:rPr>
        <w:t>The Influence of Corporate Social Responsibility on Company Value</w:t>
      </w:r>
    </w:p>
    <w:p w14:paraId="197B875B" w14:textId="59FC9AD2" w:rsidR="007F2762" w:rsidRPr="00DE6136" w:rsidRDefault="00BB7866" w:rsidP="00DE6136">
      <w:pPr>
        <w:widowControl/>
        <w:ind w:left="426" w:firstLine="567"/>
        <w:jc w:val="both"/>
        <w:rPr>
          <w:rFonts w:ascii="Arial" w:eastAsia="Arial" w:hAnsi="Arial" w:cs="Arial"/>
          <w:bCs/>
          <w:sz w:val="24"/>
          <w:szCs w:val="24"/>
        </w:rPr>
      </w:pPr>
      <w:r w:rsidRPr="00BB7866">
        <w:rPr>
          <w:rFonts w:ascii="Arial" w:eastAsia="Arial" w:hAnsi="Arial" w:cs="Arial"/>
          <w:bCs/>
          <w:sz w:val="24"/>
          <w:szCs w:val="24"/>
        </w:rPr>
        <w:t>The statistical test results show that the corporate social responsibility variable has a significance level of 0.000&lt;0.05, which means corporate social responsibility has an effect on company value.</w:t>
      </w:r>
    </w:p>
    <w:p w14:paraId="454930AE" w14:textId="77777777" w:rsidR="00BB7866" w:rsidRPr="00BB7866" w:rsidRDefault="00BB7866" w:rsidP="00BB7866">
      <w:pPr>
        <w:widowControl/>
        <w:ind w:left="426" w:firstLine="567"/>
        <w:jc w:val="both"/>
        <w:rPr>
          <w:rFonts w:ascii="Arial" w:eastAsia="Arial" w:hAnsi="Arial" w:cs="Arial"/>
          <w:sz w:val="24"/>
          <w:szCs w:val="24"/>
        </w:rPr>
      </w:pPr>
      <w:r w:rsidRPr="00BB7866">
        <w:rPr>
          <w:rFonts w:ascii="Arial" w:eastAsia="Arial" w:hAnsi="Arial" w:cs="Arial"/>
          <w:sz w:val="24"/>
          <w:szCs w:val="24"/>
        </w:rPr>
        <w:t xml:space="preserve">The results of this research are in line with research (Mishra, 2017) on companies in America. The research reveals that innovative companies with high CSR activities reduce asymmetric information and have much fewer capital constraints so that company valuation increases. As stated by (Li et al., 2020), CSR activities carried out by companies in China have been proven to be able to increase company value. More significant increases in company value occur in companies that innovate followed by implementing CSR based on environmental management. This happens because investors care about environmental conditions and circumstances. So that companies that implement environmentally based CSR receive attention and rewards from investors. The results of previous research by (Bardos et al., 2020) reveal that concrete and visible CSR activities such as community empowerment and environmental improvement have an influence on increasing the value of companies in America. The results of this research are in line with research conducted by (Aydoğmuş et al., 2022) on various companies throughout the world. This research reveals that CSR activities consisting of environmental, social and good governance aspects have an influence on </w:t>
      </w:r>
      <w:r w:rsidRPr="00BB7866">
        <w:rPr>
          <w:rFonts w:ascii="Arial" w:eastAsia="Arial" w:hAnsi="Arial" w:cs="Arial"/>
          <w:sz w:val="24"/>
          <w:szCs w:val="24"/>
        </w:rPr>
        <w:lastRenderedPageBreak/>
        <w:t>increasing company value. CSR activities carried out by companies improve company value both short and long term. Thus, the first hypothesis in this study is accepted.</w:t>
      </w:r>
    </w:p>
    <w:p w14:paraId="5507B489" w14:textId="77777777" w:rsidR="00923EFD" w:rsidRDefault="00923EFD" w:rsidP="00C162A3">
      <w:pPr>
        <w:widowControl/>
        <w:tabs>
          <w:tab w:val="right" w:pos="4393"/>
        </w:tabs>
        <w:jc w:val="both"/>
        <w:rPr>
          <w:rFonts w:ascii="Arial" w:eastAsia="Arial" w:hAnsi="Arial" w:cs="Arial"/>
          <w:sz w:val="24"/>
          <w:szCs w:val="24"/>
        </w:rPr>
      </w:pPr>
    </w:p>
    <w:p w14:paraId="23A5C77C" w14:textId="5122880C" w:rsidR="00923EFD" w:rsidRDefault="00D47A4F">
      <w:pPr>
        <w:keepNext/>
        <w:keepLines/>
        <w:widowControl/>
        <w:ind w:left="426"/>
        <w:jc w:val="both"/>
        <w:rPr>
          <w:rFonts w:ascii="Arial" w:eastAsia="Arial" w:hAnsi="Arial" w:cs="Arial"/>
          <w:b/>
          <w:sz w:val="24"/>
          <w:szCs w:val="24"/>
        </w:rPr>
      </w:pPr>
      <w:r>
        <w:rPr>
          <w:rFonts w:ascii="Arial" w:eastAsia="Arial" w:hAnsi="Arial" w:cs="Arial"/>
          <w:b/>
          <w:sz w:val="24"/>
          <w:szCs w:val="24"/>
        </w:rPr>
        <w:t>CONCLUSION</w:t>
      </w:r>
    </w:p>
    <w:p w14:paraId="34CA1E3C" w14:textId="77777777" w:rsidR="005F23A3" w:rsidRDefault="005F23A3">
      <w:pPr>
        <w:keepNext/>
        <w:keepLines/>
        <w:widowControl/>
        <w:ind w:left="426"/>
        <w:jc w:val="both"/>
        <w:rPr>
          <w:rFonts w:ascii="Arial" w:eastAsia="Arial" w:hAnsi="Arial" w:cs="Arial"/>
          <w:b/>
          <w:sz w:val="24"/>
          <w:szCs w:val="24"/>
        </w:rPr>
      </w:pPr>
    </w:p>
    <w:p w14:paraId="2D7FD241" w14:textId="14C836E4" w:rsidR="00926D2F" w:rsidRDefault="00926D2F" w:rsidP="00926D2F">
      <w:pPr>
        <w:widowControl/>
        <w:ind w:left="426" w:firstLine="567"/>
        <w:jc w:val="both"/>
        <w:rPr>
          <w:rFonts w:ascii="Arial" w:eastAsia="Arial" w:hAnsi="Arial" w:cs="Arial"/>
          <w:sz w:val="24"/>
          <w:szCs w:val="24"/>
        </w:rPr>
      </w:pPr>
      <w:r w:rsidRPr="00926D2F">
        <w:rPr>
          <w:rFonts w:ascii="Arial" w:eastAsia="Arial" w:hAnsi="Arial" w:cs="Arial"/>
          <w:sz w:val="24"/>
          <w:szCs w:val="24"/>
        </w:rPr>
        <w:t>This research aims to analyze the influence of Corporate Social Responsibility, Debt to Asset Ratio and Institutional Ownership on Company Value in 2015-2020 with the object of research being companies listed on the Indonesian Stock Exchange and members of the ESG Sector Leader IDX SRI KEHATI with the help of Eviews 12. Based the results of the research and discussion, it can be concluded as follows:</w:t>
      </w:r>
    </w:p>
    <w:p w14:paraId="5A5A570F" w14:textId="68FD58AA" w:rsidR="00926D2F" w:rsidRPr="00926D2F" w:rsidRDefault="00926D2F" w:rsidP="00926D2F">
      <w:pPr>
        <w:pStyle w:val="ListParagraph"/>
        <w:widowControl/>
        <w:ind w:left="720" w:hanging="294"/>
        <w:jc w:val="both"/>
        <w:rPr>
          <w:rFonts w:ascii="Arial" w:eastAsia="Arial" w:hAnsi="Arial" w:cs="Arial"/>
          <w:bCs/>
          <w:sz w:val="24"/>
          <w:szCs w:val="24"/>
        </w:rPr>
      </w:pPr>
      <w:r>
        <w:rPr>
          <w:rFonts w:ascii="Arial" w:eastAsia="Arial" w:hAnsi="Arial" w:cs="Arial"/>
          <w:bCs/>
          <w:sz w:val="24"/>
          <w:szCs w:val="24"/>
          <w:lang w:val="en-US"/>
        </w:rPr>
        <w:t xml:space="preserve">a. </w:t>
      </w:r>
      <w:r w:rsidRPr="00926D2F">
        <w:rPr>
          <w:rFonts w:ascii="Arial" w:eastAsia="Arial" w:hAnsi="Arial" w:cs="Arial"/>
          <w:bCs/>
          <w:sz w:val="24"/>
          <w:szCs w:val="24"/>
        </w:rPr>
        <w:t>CSR activities carried out by companies have a positive effect on the value of companies listed on the Indonesia Stock Exchange and included in the ESG Sector Leader IDX SRI KEHATI index in 2015-2020</w:t>
      </w:r>
    </w:p>
    <w:p w14:paraId="09D1193B" w14:textId="77777777" w:rsidR="00FC7ECE" w:rsidRPr="00FC7ECE" w:rsidRDefault="00FC7ECE" w:rsidP="00FC7ECE">
      <w:pPr>
        <w:widowControl/>
        <w:ind w:left="426"/>
        <w:jc w:val="both"/>
        <w:rPr>
          <w:rFonts w:ascii="Arial" w:eastAsia="Arial" w:hAnsi="Arial" w:cs="Arial"/>
          <w:sz w:val="24"/>
          <w:szCs w:val="24"/>
        </w:rPr>
      </w:pPr>
      <w:r w:rsidRPr="00FC7ECE">
        <w:rPr>
          <w:rFonts w:ascii="Arial" w:eastAsia="Arial" w:hAnsi="Arial" w:cs="Arial"/>
          <w:sz w:val="24"/>
          <w:szCs w:val="24"/>
        </w:rPr>
        <w:t>The suggestions that can be given to improve further research are as follows:</w:t>
      </w:r>
    </w:p>
    <w:p w14:paraId="35C19D70" w14:textId="77777777" w:rsidR="00FC7ECE" w:rsidRPr="00FC7ECE" w:rsidRDefault="00FC7ECE" w:rsidP="00FC7ECE">
      <w:pPr>
        <w:widowControl/>
        <w:numPr>
          <w:ilvl w:val="0"/>
          <w:numId w:val="7"/>
        </w:numPr>
        <w:jc w:val="both"/>
        <w:rPr>
          <w:rFonts w:ascii="Arial" w:eastAsia="Arial" w:hAnsi="Arial" w:cs="Arial"/>
          <w:sz w:val="24"/>
          <w:szCs w:val="24"/>
        </w:rPr>
      </w:pPr>
      <w:r w:rsidRPr="00FC7ECE">
        <w:rPr>
          <w:rFonts w:ascii="Arial" w:eastAsia="Arial" w:hAnsi="Arial" w:cs="Arial"/>
          <w:sz w:val="24"/>
          <w:szCs w:val="24"/>
        </w:rPr>
        <w:t>Increase the research time span until 2022</w:t>
      </w:r>
    </w:p>
    <w:p w14:paraId="5FC1A395" w14:textId="77777777" w:rsidR="00FC7ECE" w:rsidRPr="00FC7ECE" w:rsidRDefault="00FC7ECE" w:rsidP="00FC7ECE">
      <w:pPr>
        <w:widowControl/>
        <w:numPr>
          <w:ilvl w:val="0"/>
          <w:numId w:val="7"/>
        </w:numPr>
        <w:jc w:val="both"/>
        <w:rPr>
          <w:rFonts w:ascii="Arial" w:eastAsia="Arial" w:hAnsi="Arial" w:cs="Arial"/>
          <w:sz w:val="24"/>
          <w:szCs w:val="24"/>
        </w:rPr>
      </w:pPr>
      <w:r w:rsidRPr="00FC7ECE">
        <w:rPr>
          <w:rFonts w:ascii="Arial" w:eastAsia="Arial" w:hAnsi="Arial" w:cs="Arial"/>
          <w:sz w:val="24"/>
          <w:szCs w:val="24"/>
        </w:rPr>
        <w:t>Comparing research results before and during the Covid-19 pandemic</w:t>
      </w:r>
    </w:p>
    <w:p w14:paraId="22AD796D" w14:textId="77777777" w:rsidR="00FC7ECE" w:rsidRPr="00FC7ECE" w:rsidRDefault="00FC7ECE" w:rsidP="00FC7ECE">
      <w:pPr>
        <w:widowControl/>
        <w:numPr>
          <w:ilvl w:val="0"/>
          <w:numId w:val="7"/>
        </w:numPr>
        <w:jc w:val="both"/>
        <w:rPr>
          <w:rFonts w:ascii="Arial" w:eastAsia="Arial" w:hAnsi="Arial" w:cs="Arial"/>
          <w:sz w:val="24"/>
          <w:szCs w:val="24"/>
        </w:rPr>
      </w:pPr>
      <w:r w:rsidRPr="00FC7ECE">
        <w:rPr>
          <w:rFonts w:ascii="Arial" w:eastAsia="Arial" w:hAnsi="Arial" w:cs="Arial"/>
          <w:sz w:val="24"/>
          <w:szCs w:val="24"/>
        </w:rPr>
        <w:t>Increase the population and research samples from each business sector</w:t>
      </w:r>
    </w:p>
    <w:p w14:paraId="59A2D7BE" w14:textId="0311C5C6" w:rsidR="00FC7ECE" w:rsidRPr="00FC7ECE" w:rsidRDefault="00FC7ECE" w:rsidP="00FC7ECE">
      <w:pPr>
        <w:widowControl/>
        <w:numPr>
          <w:ilvl w:val="0"/>
          <w:numId w:val="7"/>
        </w:numPr>
        <w:jc w:val="both"/>
        <w:rPr>
          <w:rFonts w:ascii="Arial" w:eastAsia="Arial" w:hAnsi="Arial" w:cs="Arial"/>
          <w:sz w:val="24"/>
          <w:szCs w:val="24"/>
        </w:rPr>
      </w:pPr>
      <w:r w:rsidRPr="00FC7ECE">
        <w:rPr>
          <w:rFonts w:ascii="Arial" w:eastAsia="Arial" w:hAnsi="Arial" w:cs="Arial"/>
          <w:sz w:val="24"/>
          <w:szCs w:val="24"/>
        </w:rPr>
        <w:t>Compare the research results of each sector</w:t>
      </w:r>
    </w:p>
    <w:p w14:paraId="573B7BF3" w14:textId="77777777" w:rsidR="00FC7ECE" w:rsidRPr="00FC7ECE" w:rsidRDefault="00FC7ECE" w:rsidP="00FC7ECE">
      <w:pPr>
        <w:widowControl/>
        <w:numPr>
          <w:ilvl w:val="0"/>
          <w:numId w:val="7"/>
        </w:numPr>
        <w:jc w:val="both"/>
        <w:rPr>
          <w:rFonts w:ascii="Arial" w:eastAsia="Arial" w:hAnsi="Arial" w:cs="Arial"/>
          <w:sz w:val="24"/>
          <w:szCs w:val="24"/>
        </w:rPr>
      </w:pPr>
      <w:r w:rsidRPr="00FC7ECE">
        <w:rPr>
          <w:rFonts w:ascii="Arial" w:eastAsia="Arial" w:hAnsi="Arial" w:cs="Arial"/>
          <w:sz w:val="24"/>
          <w:szCs w:val="24"/>
        </w:rPr>
        <w:t>Increase the range of research locations to Southeast Asia or Asia Pacific</w:t>
      </w:r>
    </w:p>
    <w:p w14:paraId="18F9DEF6" w14:textId="77777777" w:rsidR="00923EFD" w:rsidRDefault="00923EFD" w:rsidP="00B326B9">
      <w:pPr>
        <w:widowControl/>
        <w:jc w:val="both"/>
        <w:rPr>
          <w:rFonts w:ascii="Arial" w:eastAsia="Arial" w:hAnsi="Arial" w:cs="Arial"/>
          <w:sz w:val="24"/>
          <w:szCs w:val="24"/>
        </w:rPr>
      </w:pPr>
    </w:p>
    <w:p w14:paraId="44EB423B" w14:textId="77777777" w:rsidR="00923EFD" w:rsidRDefault="00D47A4F">
      <w:pPr>
        <w:keepNext/>
        <w:keepLines/>
        <w:widowControl/>
        <w:ind w:left="426"/>
        <w:jc w:val="both"/>
        <w:rPr>
          <w:rFonts w:ascii="Arial" w:eastAsia="Arial" w:hAnsi="Arial" w:cs="Arial"/>
          <w:b/>
          <w:sz w:val="24"/>
          <w:szCs w:val="24"/>
        </w:rPr>
      </w:pPr>
      <w:r>
        <w:rPr>
          <w:rFonts w:ascii="Arial" w:eastAsia="Arial" w:hAnsi="Arial" w:cs="Arial"/>
          <w:b/>
          <w:sz w:val="24"/>
          <w:szCs w:val="24"/>
        </w:rPr>
        <w:t>REFERENCES</w:t>
      </w:r>
    </w:p>
    <w:p w14:paraId="1AFAE487" w14:textId="77777777" w:rsidR="00D05C7D" w:rsidRDefault="00D05C7D" w:rsidP="005F23A3">
      <w:pPr>
        <w:jc w:val="both"/>
        <w:rPr>
          <w:rFonts w:ascii="Arial" w:eastAsia="Arial" w:hAnsi="Arial" w:cs="Arial"/>
          <w:sz w:val="24"/>
          <w:szCs w:val="24"/>
        </w:rPr>
      </w:pPr>
    </w:p>
    <w:p w14:paraId="261DCB4A"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fldChar w:fldCharType="begin" w:fldLock="1"/>
      </w:r>
      <w:r w:rsidRPr="00D05C7D">
        <w:rPr>
          <w:rFonts w:ascii="Arial" w:eastAsia="Arial" w:hAnsi="Arial" w:cs="Arial"/>
          <w:sz w:val="24"/>
          <w:szCs w:val="24"/>
        </w:rPr>
        <w:instrText xml:space="preserve">ADDIN Mendeley Bibliography CSL_BIBLIOGRAPHY </w:instrText>
      </w:r>
      <w:r w:rsidRPr="00D05C7D">
        <w:rPr>
          <w:rFonts w:ascii="Arial" w:eastAsia="Arial" w:hAnsi="Arial" w:cs="Arial"/>
          <w:sz w:val="24"/>
          <w:szCs w:val="24"/>
        </w:rPr>
        <w:fldChar w:fldCharType="separate"/>
      </w:r>
      <w:r w:rsidRPr="00D05C7D">
        <w:rPr>
          <w:rFonts w:ascii="Arial" w:eastAsia="Arial" w:hAnsi="Arial" w:cs="Arial"/>
          <w:sz w:val="24"/>
          <w:szCs w:val="24"/>
        </w:rPr>
        <w:t xml:space="preserve">Aydoğmuş, M., Gülay, G., &amp; Ergun, K. (2022). Impact of ESG performance on firm value and profitability. </w:t>
      </w:r>
      <w:r w:rsidRPr="005F23A3">
        <w:rPr>
          <w:rFonts w:ascii="Arial" w:eastAsia="Arial" w:hAnsi="Arial" w:cs="Arial"/>
          <w:i/>
          <w:iCs/>
          <w:sz w:val="24"/>
          <w:szCs w:val="24"/>
        </w:rPr>
        <w:t>Borsa Istanbul Review</w:t>
      </w:r>
      <w:r w:rsidRPr="00D05C7D">
        <w:rPr>
          <w:rFonts w:ascii="Arial" w:eastAsia="Arial" w:hAnsi="Arial" w:cs="Arial"/>
          <w:sz w:val="24"/>
          <w:szCs w:val="24"/>
        </w:rPr>
        <w:t>, 22, S119–S127. https://doi.org/10.1016/j.bir.2022.11.006</w:t>
      </w:r>
    </w:p>
    <w:p w14:paraId="600C8ADB"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Azheri, B. (2012). Corporate Social Responsibility: Dari Voluntary menjadi Mandatory. PT RAJAGRAFINDO PERSADA.</w:t>
      </w:r>
    </w:p>
    <w:p w14:paraId="5C37DD81"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Bardos, K. S., Ertugrul, M., &amp; Gao, L. S. (2020). Corporate social responsibility, product market perception, and firm value. </w:t>
      </w:r>
      <w:r w:rsidRPr="005F23A3">
        <w:rPr>
          <w:rFonts w:ascii="Arial" w:eastAsia="Arial" w:hAnsi="Arial" w:cs="Arial"/>
          <w:i/>
          <w:iCs/>
          <w:sz w:val="24"/>
          <w:szCs w:val="24"/>
        </w:rPr>
        <w:t>Journal of Corporate Finance</w:t>
      </w:r>
      <w:r w:rsidRPr="00D05C7D">
        <w:rPr>
          <w:rFonts w:ascii="Arial" w:eastAsia="Arial" w:hAnsi="Arial" w:cs="Arial"/>
          <w:sz w:val="24"/>
          <w:szCs w:val="24"/>
        </w:rPr>
        <w:t>, 62(November 2019), 101588. https://doi.org/10.1016/j.jcorpfin.2020.101588</w:t>
      </w:r>
    </w:p>
    <w:p w14:paraId="663997EB"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Becchetti, L., Ciciretti, R., Hasan, I., &amp; Kobeissi, N. (2012). Corporate social responsibility and shareholder’s value. </w:t>
      </w:r>
      <w:r w:rsidRPr="005F23A3">
        <w:rPr>
          <w:rFonts w:ascii="Arial" w:eastAsia="Arial" w:hAnsi="Arial" w:cs="Arial"/>
          <w:i/>
          <w:iCs/>
          <w:sz w:val="24"/>
          <w:szCs w:val="24"/>
        </w:rPr>
        <w:t>Journal of Business Research</w:t>
      </w:r>
      <w:r w:rsidRPr="00D05C7D">
        <w:rPr>
          <w:rFonts w:ascii="Arial" w:eastAsia="Arial" w:hAnsi="Arial" w:cs="Arial"/>
          <w:sz w:val="24"/>
          <w:szCs w:val="24"/>
        </w:rPr>
        <w:t>, 65(11), 1628–1635. https://doi.org/10.1016/j.jbusres.2011.10.022</w:t>
      </w:r>
    </w:p>
    <w:p w14:paraId="4A860E74"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Chen, R. C. Y., &amp; Lee, C. H. (2017). The influence of CSR on firm value: an application of panel smooth transition regression on Taiwan. </w:t>
      </w:r>
      <w:r w:rsidRPr="005F23A3">
        <w:rPr>
          <w:rFonts w:ascii="Arial" w:eastAsia="Arial" w:hAnsi="Arial" w:cs="Arial"/>
          <w:i/>
          <w:iCs/>
          <w:sz w:val="24"/>
          <w:szCs w:val="24"/>
        </w:rPr>
        <w:t>Applied Economics</w:t>
      </w:r>
      <w:r w:rsidRPr="00D05C7D">
        <w:rPr>
          <w:rFonts w:ascii="Arial" w:eastAsia="Arial" w:hAnsi="Arial" w:cs="Arial"/>
          <w:sz w:val="24"/>
          <w:szCs w:val="24"/>
        </w:rPr>
        <w:t>, 49(34), 3422–3434. https://doi.org/10.1080/00036846.2016.1262516</w:t>
      </w:r>
    </w:p>
    <w:p w14:paraId="13E54A31"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Chen, T., Dong, H., &amp; Lin, C. (2020). Institutional shareholders and corporate social responsibility. </w:t>
      </w:r>
      <w:r w:rsidRPr="0095753E">
        <w:rPr>
          <w:rFonts w:ascii="Arial" w:eastAsia="Arial" w:hAnsi="Arial" w:cs="Arial"/>
          <w:i/>
          <w:iCs/>
          <w:sz w:val="24"/>
          <w:szCs w:val="24"/>
        </w:rPr>
        <w:t>Journal of Financial Economics</w:t>
      </w:r>
      <w:r w:rsidRPr="00D05C7D">
        <w:rPr>
          <w:rFonts w:ascii="Arial" w:eastAsia="Arial" w:hAnsi="Arial" w:cs="Arial"/>
          <w:sz w:val="24"/>
          <w:szCs w:val="24"/>
        </w:rPr>
        <w:t>, 135(2), 483–504. https://doi.org/10.1016/j.jfineco.2019.06.007</w:t>
      </w:r>
    </w:p>
    <w:p w14:paraId="5E5BE94E"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Cho, E., &amp; Tsang, A. (2020). Corporate Social Responsibility, Product Strategy, and Firm Value. </w:t>
      </w:r>
      <w:r w:rsidRPr="0095753E">
        <w:rPr>
          <w:rFonts w:ascii="Arial" w:eastAsia="Arial" w:hAnsi="Arial" w:cs="Arial"/>
          <w:i/>
          <w:iCs/>
          <w:sz w:val="24"/>
          <w:szCs w:val="24"/>
        </w:rPr>
        <w:t>Asia-Pacific Journal of Financial Studies</w:t>
      </w:r>
      <w:r w:rsidRPr="00D05C7D">
        <w:rPr>
          <w:rFonts w:ascii="Arial" w:eastAsia="Arial" w:hAnsi="Arial" w:cs="Arial"/>
          <w:sz w:val="24"/>
          <w:szCs w:val="24"/>
        </w:rPr>
        <w:t>, 49(2), 272–298. https://doi.org/10.1111/ajfs.12291</w:t>
      </w:r>
    </w:p>
    <w:p w14:paraId="07123553"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CNN, I. (2023). No Title.</w:t>
      </w:r>
    </w:p>
    <w:p w14:paraId="6094586A"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Deephouse, D. L., Jonathan Bundy, C., Plunkett Tost, L., &amp; Suchman, M. C. (2016). The SAGE Handbook of Organizational Institutionalism (2 nd Ed.). He SAGE Handbook of Organizational Institutionalism (2nd Ed.). http://ssrn.com/abstract=2849636Electroniccopyavailableat:http://ssrn.com/abstract=2849636</w:t>
      </w:r>
    </w:p>
    <w:p w14:paraId="3610BB3E"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Feng, Z., &amp; Wu, Z. (2023). ESG Disclosure, REIT Debt Financing and Firm Value. </w:t>
      </w:r>
      <w:r w:rsidRPr="0095753E">
        <w:rPr>
          <w:rFonts w:ascii="Arial" w:eastAsia="Arial" w:hAnsi="Arial" w:cs="Arial"/>
          <w:i/>
          <w:iCs/>
          <w:sz w:val="24"/>
          <w:szCs w:val="24"/>
        </w:rPr>
        <w:lastRenderedPageBreak/>
        <w:t>Journal of Real Estate Finance and Economics</w:t>
      </w:r>
      <w:r w:rsidRPr="00D05C7D">
        <w:rPr>
          <w:rFonts w:ascii="Arial" w:eastAsia="Arial" w:hAnsi="Arial" w:cs="Arial"/>
          <w:sz w:val="24"/>
          <w:szCs w:val="24"/>
        </w:rPr>
        <w:t>, 67(3), 388–422. https://doi.org/10.1007/s11146-021-09857-x</w:t>
      </w:r>
    </w:p>
    <w:p w14:paraId="3AEC001B"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Franco, S., Caroli, M. G., Cappa, F., &amp; Del Chiappa, G. (2020). Are you good enough? CSR, quality management and corporate financial performance in the hospitality industry. </w:t>
      </w:r>
      <w:r w:rsidRPr="0095753E">
        <w:rPr>
          <w:rFonts w:ascii="Arial" w:eastAsia="Arial" w:hAnsi="Arial" w:cs="Arial"/>
          <w:i/>
          <w:iCs/>
          <w:sz w:val="24"/>
          <w:szCs w:val="24"/>
        </w:rPr>
        <w:t>International Journal of Hospitality Management</w:t>
      </w:r>
      <w:r w:rsidRPr="00D05C7D">
        <w:rPr>
          <w:rFonts w:ascii="Arial" w:eastAsia="Arial" w:hAnsi="Arial" w:cs="Arial"/>
          <w:sz w:val="24"/>
          <w:szCs w:val="24"/>
        </w:rPr>
        <w:t>, 88(August), 102395. https://doi.org/10.1016/j.ijhm.2019.102395</w:t>
      </w:r>
    </w:p>
    <w:p w14:paraId="0ACCE9B3"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Freeman, R. E., Harrison, J. S., Wicks, A. C., Parmar, B., &amp; de Colle, S. (2010). Stakeholder theory: The state of the art. Stakeholder Theory: The State of the Art, 1–343. https://doi.org/10.1017/CBO9780511815768</w:t>
      </w:r>
    </w:p>
    <w:p w14:paraId="722E1BFD"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García-Sánchez, I. M., Hussain, N., Martínez-Ferrero, J., &amp; Ruiz-Barbadillo, E. (2019). Impact of disclosure and assurance quality of corporate sustainability reports on access to finance. </w:t>
      </w:r>
      <w:r w:rsidRPr="0095753E">
        <w:rPr>
          <w:rFonts w:ascii="Arial" w:eastAsia="Arial" w:hAnsi="Arial" w:cs="Arial"/>
          <w:i/>
          <w:iCs/>
          <w:sz w:val="24"/>
          <w:szCs w:val="24"/>
        </w:rPr>
        <w:t>Corporate Social Responsibility and Environmental Management</w:t>
      </w:r>
      <w:r w:rsidRPr="00D05C7D">
        <w:rPr>
          <w:rFonts w:ascii="Arial" w:eastAsia="Arial" w:hAnsi="Arial" w:cs="Arial"/>
          <w:sz w:val="24"/>
          <w:szCs w:val="24"/>
        </w:rPr>
        <w:t>, 26(4), 832–848. https://doi.org/10.1002/csr.1724</w:t>
      </w:r>
    </w:p>
    <w:p w14:paraId="6DF4C04E" w14:textId="67E6D4A5"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Greenpeace. (2022). No Title. </w:t>
      </w:r>
      <w:r w:rsidR="0095753E">
        <w:rPr>
          <w:rFonts w:ascii="Arial" w:eastAsia="Arial" w:hAnsi="Arial" w:cs="Arial"/>
          <w:sz w:val="24"/>
          <w:szCs w:val="24"/>
          <w:lang w:val="en-US"/>
        </w:rPr>
        <w:t>w</w:t>
      </w:r>
      <w:r w:rsidRPr="00D05C7D">
        <w:rPr>
          <w:rFonts w:ascii="Arial" w:eastAsia="Arial" w:hAnsi="Arial" w:cs="Arial"/>
          <w:sz w:val="24"/>
          <w:szCs w:val="24"/>
        </w:rPr>
        <w:t>ww.greenpeace.org/indonesia/publikasi/44219/karhutla-dalam-lima-tahun-terakhir/</w:t>
      </w:r>
    </w:p>
    <w:p w14:paraId="618252DD"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Gupta, K., &amp; Krishnamurti, C. (2021). Corporate social responsibility, competition, and firm value. </w:t>
      </w:r>
      <w:r w:rsidRPr="00925141">
        <w:rPr>
          <w:rFonts w:ascii="Arial" w:eastAsia="Arial" w:hAnsi="Arial" w:cs="Arial"/>
          <w:i/>
          <w:iCs/>
          <w:sz w:val="24"/>
          <w:szCs w:val="24"/>
        </w:rPr>
        <w:t>Pacific Basin Finance Journal</w:t>
      </w:r>
      <w:r w:rsidRPr="00D05C7D">
        <w:rPr>
          <w:rFonts w:ascii="Arial" w:eastAsia="Arial" w:hAnsi="Arial" w:cs="Arial"/>
          <w:sz w:val="24"/>
          <w:szCs w:val="24"/>
        </w:rPr>
        <w:t>, 68(August 2019), 101622. https://doi.org/10.1016/j.pacfin.2021.101622</w:t>
      </w:r>
    </w:p>
    <w:p w14:paraId="5FB1E317"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Husna, A., &amp; Satria, I. (2019). Effects of Return on Asset, Debt To Asset Ratio, Current Ratio, Firm Size, and Dividend Payout Ratio on Firm Value. </w:t>
      </w:r>
      <w:r w:rsidRPr="00925141">
        <w:rPr>
          <w:rFonts w:ascii="Arial" w:eastAsia="Arial" w:hAnsi="Arial" w:cs="Arial"/>
          <w:i/>
          <w:iCs/>
          <w:sz w:val="24"/>
          <w:szCs w:val="24"/>
        </w:rPr>
        <w:t>International Journal of Economics and Financial Issues</w:t>
      </w:r>
      <w:r w:rsidRPr="00D05C7D">
        <w:rPr>
          <w:rFonts w:ascii="Arial" w:eastAsia="Arial" w:hAnsi="Arial" w:cs="Arial"/>
          <w:sz w:val="24"/>
          <w:szCs w:val="24"/>
        </w:rPr>
        <w:t>, 9(5), 50–54. https://doi.org/10.32479/ijefi.8595</w:t>
      </w:r>
    </w:p>
    <w:p w14:paraId="4661DE65"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Janang, J. S., Joseph, C., &amp; Said, R. (2020). Corporate governance and corporate social responsibility society disclosure: The application of legitimacy theory. </w:t>
      </w:r>
      <w:r w:rsidRPr="00925141">
        <w:rPr>
          <w:rFonts w:ascii="Arial" w:eastAsia="Arial" w:hAnsi="Arial" w:cs="Arial"/>
          <w:i/>
          <w:iCs/>
          <w:sz w:val="24"/>
          <w:szCs w:val="24"/>
        </w:rPr>
        <w:t>International Journal of Business and Society</w:t>
      </w:r>
      <w:r w:rsidRPr="00D05C7D">
        <w:rPr>
          <w:rFonts w:ascii="Arial" w:eastAsia="Arial" w:hAnsi="Arial" w:cs="Arial"/>
          <w:sz w:val="24"/>
          <w:szCs w:val="24"/>
        </w:rPr>
        <w:t>, 21(2), 660–678.</w:t>
      </w:r>
    </w:p>
    <w:p w14:paraId="339D97E4"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Jihadi, M., Vilantika, E., Hashemi, S. M., Arifin, Z., Bachtiar, Y., &amp; Sholichah, F. (2021). The Effect of Liquidity, Leverage, and Profitability on Firm Value: Empirical Evidence from Indonesia. </w:t>
      </w:r>
      <w:r w:rsidRPr="00925141">
        <w:rPr>
          <w:rFonts w:ascii="Arial" w:eastAsia="Arial" w:hAnsi="Arial" w:cs="Arial"/>
          <w:i/>
          <w:iCs/>
          <w:sz w:val="24"/>
          <w:szCs w:val="24"/>
        </w:rPr>
        <w:t>Journal of Asian Finance, Economics and Business</w:t>
      </w:r>
      <w:r w:rsidRPr="00D05C7D">
        <w:rPr>
          <w:rFonts w:ascii="Arial" w:eastAsia="Arial" w:hAnsi="Arial" w:cs="Arial"/>
          <w:sz w:val="24"/>
          <w:szCs w:val="24"/>
        </w:rPr>
        <w:t>, 8(3), 423–431. https://doi.org/10.13106/jafeb.2021.vol8.no3.0423</w:t>
      </w:r>
    </w:p>
    <w:p w14:paraId="3FD8DF71"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Lee, C. H., Chen, R. C. Y., Hung, S. W., &amp; Yang, C. X. (2020). Corporate Social Responsibility and Firm Value: The Mediating Role of Investor Recognition. </w:t>
      </w:r>
      <w:r w:rsidRPr="00925141">
        <w:rPr>
          <w:rFonts w:ascii="Arial" w:eastAsia="Arial" w:hAnsi="Arial" w:cs="Arial"/>
          <w:i/>
          <w:iCs/>
          <w:sz w:val="24"/>
          <w:szCs w:val="24"/>
        </w:rPr>
        <w:t>Emerging Markets Finance and Trade</w:t>
      </w:r>
      <w:r w:rsidRPr="00D05C7D">
        <w:rPr>
          <w:rFonts w:ascii="Arial" w:eastAsia="Arial" w:hAnsi="Arial" w:cs="Arial"/>
          <w:sz w:val="24"/>
          <w:szCs w:val="24"/>
        </w:rPr>
        <w:t>, 56(5), 1043–1054. https://doi.org/10.1080/1540496X.2018.1501676</w:t>
      </w:r>
    </w:p>
    <w:p w14:paraId="7E00D52D"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Li, Z., Liao, G., &amp; Albitar, K. (2020). Does corporate environmental responsibility engagement affect firm value? The mediating role of corporate innovation. </w:t>
      </w:r>
      <w:r w:rsidRPr="00925141">
        <w:rPr>
          <w:rFonts w:ascii="Arial" w:eastAsia="Arial" w:hAnsi="Arial" w:cs="Arial"/>
          <w:i/>
          <w:iCs/>
          <w:sz w:val="24"/>
          <w:szCs w:val="24"/>
        </w:rPr>
        <w:t>Business Strategy and the Environment</w:t>
      </w:r>
      <w:r w:rsidRPr="00D05C7D">
        <w:rPr>
          <w:rFonts w:ascii="Arial" w:eastAsia="Arial" w:hAnsi="Arial" w:cs="Arial"/>
          <w:sz w:val="24"/>
          <w:szCs w:val="24"/>
        </w:rPr>
        <w:t>, 29(3), 1045–1055. https://doi.org/10.1002/bse.2416</w:t>
      </w:r>
    </w:p>
    <w:p w14:paraId="00FF2B78"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Loh, L., Thomas, T., &amp; Wang, Y. (2017). Sustainability reporting and firm value: Evidence from Singapore-listed companies. </w:t>
      </w:r>
      <w:r w:rsidRPr="00925141">
        <w:rPr>
          <w:rFonts w:ascii="Arial" w:eastAsia="Arial" w:hAnsi="Arial" w:cs="Arial"/>
          <w:i/>
          <w:iCs/>
          <w:sz w:val="24"/>
          <w:szCs w:val="24"/>
        </w:rPr>
        <w:t>Sustainability</w:t>
      </w:r>
      <w:r w:rsidRPr="00D05C7D">
        <w:rPr>
          <w:rFonts w:ascii="Arial" w:eastAsia="Arial" w:hAnsi="Arial" w:cs="Arial"/>
          <w:sz w:val="24"/>
          <w:szCs w:val="24"/>
        </w:rPr>
        <w:t xml:space="preserve"> (Switzerland), 9(11), 1–12. https://doi.org/10.3390/su9112112</w:t>
      </w:r>
    </w:p>
    <w:p w14:paraId="5833417B"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Mahajan, R., Lim, W. M., Sareen, M., Kumar, S., &amp; Panwar, R. (2023). Stakeholder theory. </w:t>
      </w:r>
      <w:r w:rsidRPr="00925141">
        <w:rPr>
          <w:rFonts w:ascii="Arial" w:eastAsia="Arial" w:hAnsi="Arial" w:cs="Arial"/>
          <w:i/>
          <w:iCs/>
          <w:sz w:val="24"/>
          <w:szCs w:val="24"/>
        </w:rPr>
        <w:t>Journal of Business Research</w:t>
      </w:r>
      <w:r w:rsidRPr="00D05C7D">
        <w:rPr>
          <w:rFonts w:ascii="Arial" w:eastAsia="Arial" w:hAnsi="Arial" w:cs="Arial"/>
          <w:sz w:val="24"/>
          <w:szCs w:val="24"/>
        </w:rPr>
        <w:t>, 166(March). https://doi.org/10.1016/j.jbusres.2023.114104</w:t>
      </w:r>
    </w:p>
    <w:p w14:paraId="4163EFF0"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Mahrani, M., &amp; Soewarno, N. (2018). The effect of good corporate governance mechanism and corporate social responsibility on financial performance with earnings management as mediating variable. </w:t>
      </w:r>
      <w:r w:rsidRPr="00925141">
        <w:rPr>
          <w:rFonts w:ascii="Arial" w:eastAsia="Arial" w:hAnsi="Arial" w:cs="Arial"/>
          <w:i/>
          <w:iCs/>
          <w:sz w:val="24"/>
          <w:szCs w:val="24"/>
        </w:rPr>
        <w:t>Asian Journal of Accounting Research</w:t>
      </w:r>
      <w:r w:rsidRPr="00D05C7D">
        <w:rPr>
          <w:rFonts w:ascii="Arial" w:eastAsia="Arial" w:hAnsi="Arial" w:cs="Arial"/>
          <w:sz w:val="24"/>
          <w:szCs w:val="24"/>
        </w:rPr>
        <w:t>, 3(1), 41–60. https://doi.org/10.1108/AJAR-06-2018-0008</w:t>
      </w:r>
    </w:p>
    <w:p w14:paraId="31F8B0D7"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Mishra, D. R. (2017). Post-innovation CSR Performance and Firm Value. </w:t>
      </w:r>
      <w:r w:rsidRPr="00925141">
        <w:rPr>
          <w:rFonts w:ascii="Arial" w:eastAsia="Arial" w:hAnsi="Arial" w:cs="Arial"/>
          <w:i/>
          <w:iCs/>
          <w:sz w:val="24"/>
          <w:szCs w:val="24"/>
        </w:rPr>
        <w:t>Journal of Business Ethics</w:t>
      </w:r>
      <w:r w:rsidRPr="00D05C7D">
        <w:rPr>
          <w:rFonts w:ascii="Arial" w:eastAsia="Arial" w:hAnsi="Arial" w:cs="Arial"/>
          <w:sz w:val="24"/>
          <w:szCs w:val="24"/>
        </w:rPr>
        <w:t>, 140(2), 285–306. https://doi.org/10.1007/s10551-015-2676-3</w:t>
      </w:r>
    </w:p>
    <w:p w14:paraId="2CA4FC1A" w14:textId="64413D26"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Noor, S., Saeed, A., Baloch, M. S., &amp; Awais, M. (2020). CSR permanency, family </w:t>
      </w:r>
      <w:r w:rsidRPr="00D05C7D">
        <w:rPr>
          <w:rFonts w:ascii="Arial" w:eastAsia="Arial" w:hAnsi="Arial" w:cs="Arial"/>
          <w:sz w:val="24"/>
          <w:szCs w:val="24"/>
        </w:rPr>
        <w:lastRenderedPageBreak/>
        <w:t xml:space="preserve">ownership, and firm value: Evidence from emerging economies. </w:t>
      </w:r>
      <w:r w:rsidRPr="00925141">
        <w:rPr>
          <w:rFonts w:ascii="Arial" w:eastAsia="Arial" w:hAnsi="Arial" w:cs="Arial"/>
          <w:i/>
          <w:iCs/>
          <w:sz w:val="24"/>
          <w:szCs w:val="24"/>
        </w:rPr>
        <w:t>Corporate Social Responsibility and Environmental Management</w:t>
      </w:r>
      <w:r w:rsidRPr="00D05C7D">
        <w:rPr>
          <w:rFonts w:ascii="Arial" w:eastAsia="Arial" w:hAnsi="Arial" w:cs="Arial"/>
          <w:sz w:val="24"/>
          <w:szCs w:val="24"/>
        </w:rPr>
        <w:t>, 27(5), 2135–2149. https://doi.org/10.1002/csr.1953</w:t>
      </w:r>
    </w:p>
    <w:p w14:paraId="50683CAC"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Oh, H., Bae, J., &amp; Kim, S. J. (2017). Can Sinful Firms Benefit from Advertising Their CSR Efforts? Adverse Effect of Advertising Sinful Firms’ CSR Engagements on Firm Performance. </w:t>
      </w:r>
      <w:r w:rsidRPr="00B95BF1">
        <w:rPr>
          <w:rFonts w:ascii="Arial" w:eastAsia="Arial" w:hAnsi="Arial" w:cs="Arial"/>
          <w:i/>
          <w:iCs/>
          <w:sz w:val="24"/>
          <w:szCs w:val="24"/>
        </w:rPr>
        <w:t>Journal of Business Ethics</w:t>
      </w:r>
      <w:r w:rsidRPr="00D05C7D">
        <w:rPr>
          <w:rFonts w:ascii="Arial" w:eastAsia="Arial" w:hAnsi="Arial" w:cs="Arial"/>
          <w:sz w:val="24"/>
          <w:szCs w:val="24"/>
        </w:rPr>
        <w:t>, 143(4), 643–663. https://doi.org/10.1007/s10551-016-3072-3</w:t>
      </w:r>
    </w:p>
    <w:p w14:paraId="49EC7A69"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Purbawangsa, I. B. A., Solimun, S., Fernandes, A. A. R., &amp; Mangesti Rahayu, S. (2020). Corporate governance, corporate profitability toward corporate social responsibility disclosure and corporate value (comparative study in Indonesia, China and India stock exchange in 2013-2016). </w:t>
      </w:r>
      <w:r w:rsidRPr="00B95BF1">
        <w:rPr>
          <w:rFonts w:ascii="Arial" w:eastAsia="Arial" w:hAnsi="Arial" w:cs="Arial"/>
          <w:i/>
          <w:iCs/>
          <w:sz w:val="24"/>
          <w:szCs w:val="24"/>
        </w:rPr>
        <w:t>Social Responsibility Journal</w:t>
      </w:r>
      <w:r w:rsidRPr="00D05C7D">
        <w:rPr>
          <w:rFonts w:ascii="Arial" w:eastAsia="Arial" w:hAnsi="Arial" w:cs="Arial"/>
          <w:sz w:val="24"/>
          <w:szCs w:val="24"/>
        </w:rPr>
        <w:t>, 16(7), 983–999. https://doi.org/10.1108/SRJ-08-2017-0160</w:t>
      </w:r>
    </w:p>
    <w:p w14:paraId="1020E584"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Shakil, M. H., Mahmood, N., Tasnia, M., &amp; Munim, Z. H. (2019). Do environmental, social and governance performance affect the financial performance of banks? A cross-country study of emerging market banks. </w:t>
      </w:r>
      <w:r w:rsidRPr="00B95BF1">
        <w:rPr>
          <w:rFonts w:ascii="Arial" w:eastAsia="Arial" w:hAnsi="Arial" w:cs="Arial"/>
          <w:i/>
          <w:iCs/>
          <w:sz w:val="24"/>
          <w:szCs w:val="24"/>
        </w:rPr>
        <w:t>Management of Environmental Quality: An International Journal</w:t>
      </w:r>
      <w:r w:rsidRPr="00D05C7D">
        <w:rPr>
          <w:rFonts w:ascii="Arial" w:eastAsia="Arial" w:hAnsi="Arial" w:cs="Arial"/>
          <w:sz w:val="24"/>
          <w:szCs w:val="24"/>
        </w:rPr>
        <w:t>, 30(6), 1331–1344. https://doi.org/10.1108/MEQ-08-2018-0155</w:t>
      </w:r>
    </w:p>
    <w:p w14:paraId="5911A47C"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Untung, H. B. (2009). Corporate Social Responsibility. Sinar Grafika Offset.</w:t>
      </w:r>
    </w:p>
    <w:p w14:paraId="14E01758"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Yi, Y., Zhang, Z., &amp; Yan, Y. (2021). Kindness is rewarded! The impact of corporate social responsibility on Chinese market reactions to the COVID-19 pandemic. </w:t>
      </w:r>
      <w:r w:rsidRPr="00E85D05">
        <w:rPr>
          <w:rFonts w:ascii="Arial" w:eastAsia="Arial" w:hAnsi="Arial" w:cs="Arial"/>
          <w:i/>
          <w:iCs/>
          <w:sz w:val="24"/>
          <w:szCs w:val="24"/>
        </w:rPr>
        <w:t>Economics Letters</w:t>
      </w:r>
      <w:r w:rsidRPr="00D05C7D">
        <w:rPr>
          <w:rFonts w:ascii="Arial" w:eastAsia="Arial" w:hAnsi="Arial" w:cs="Arial"/>
          <w:sz w:val="24"/>
          <w:szCs w:val="24"/>
        </w:rPr>
        <w:t>, 208, 110066. https://doi.org/10.1016/j.econlet.2021.110066</w:t>
      </w:r>
    </w:p>
    <w:p w14:paraId="73EC4CD4" w14:textId="77777777" w:rsidR="00D05C7D" w:rsidRPr="00D05C7D" w:rsidRDefault="00D05C7D" w:rsidP="00D05C7D">
      <w:pPr>
        <w:ind w:left="993" w:hanging="567"/>
        <w:jc w:val="both"/>
        <w:rPr>
          <w:rFonts w:ascii="Arial" w:eastAsia="Arial" w:hAnsi="Arial" w:cs="Arial"/>
          <w:sz w:val="24"/>
          <w:szCs w:val="24"/>
        </w:rPr>
      </w:pPr>
      <w:r w:rsidRPr="00D05C7D">
        <w:rPr>
          <w:rFonts w:ascii="Arial" w:eastAsia="Arial" w:hAnsi="Arial" w:cs="Arial"/>
          <w:sz w:val="24"/>
          <w:szCs w:val="24"/>
        </w:rPr>
        <w:t xml:space="preserve">Yoon, B., Lee, J. H., &amp; Byun, R. (2018). Does ESG performance enhance firm value? Evidence from Korea. </w:t>
      </w:r>
      <w:r w:rsidRPr="00E85D05">
        <w:rPr>
          <w:rFonts w:ascii="Arial" w:eastAsia="Arial" w:hAnsi="Arial" w:cs="Arial"/>
          <w:i/>
          <w:iCs/>
          <w:sz w:val="24"/>
          <w:szCs w:val="24"/>
        </w:rPr>
        <w:t>Sustainability</w:t>
      </w:r>
      <w:r w:rsidRPr="00D05C7D">
        <w:rPr>
          <w:rFonts w:ascii="Arial" w:eastAsia="Arial" w:hAnsi="Arial" w:cs="Arial"/>
          <w:sz w:val="24"/>
          <w:szCs w:val="24"/>
        </w:rPr>
        <w:t xml:space="preserve"> (Switzerland), 10(10). https://doi.org/10.3390/su10103635</w:t>
      </w:r>
    </w:p>
    <w:p w14:paraId="122D44DC" w14:textId="4B4C5441" w:rsidR="00D05C7D" w:rsidRDefault="00D05C7D" w:rsidP="00D05C7D">
      <w:pPr>
        <w:ind w:left="993" w:hanging="567"/>
        <w:jc w:val="both"/>
        <w:rPr>
          <w:rFonts w:ascii="Arial" w:eastAsia="Arial" w:hAnsi="Arial" w:cs="Arial"/>
          <w:sz w:val="24"/>
          <w:szCs w:val="24"/>
        </w:rPr>
        <w:sectPr w:rsidR="00D05C7D" w:rsidSect="00F66F31">
          <w:headerReference w:type="default" r:id="rId16"/>
          <w:footerReference w:type="default" r:id="rId17"/>
          <w:pgSz w:w="11900" w:h="16850"/>
          <w:pgMar w:top="1160" w:right="1340" w:bottom="1000" w:left="1360" w:header="757" w:footer="815" w:gutter="0"/>
          <w:pgNumType w:start="45"/>
          <w:cols w:space="720"/>
        </w:sectPr>
      </w:pPr>
      <w:r w:rsidRPr="00D05C7D">
        <w:rPr>
          <w:rFonts w:ascii="Arial" w:eastAsia="Arial" w:hAnsi="Arial" w:cs="Arial"/>
          <w:sz w:val="24"/>
          <w:szCs w:val="24"/>
        </w:rPr>
        <w:fldChar w:fldCharType="end"/>
      </w:r>
    </w:p>
    <w:p w14:paraId="30324DF3" w14:textId="77777777" w:rsidR="00923EFD" w:rsidRDefault="00923EFD" w:rsidP="00F66F31">
      <w:pPr>
        <w:pBdr>
          <w:top w:val="nil"/>
          <w:left w:val="nil"/>
          <w:bottom w:val="nil"/>
          <w:right w:val="nil"/>
          <w:between w:val="nil"/>
        </w:pBdr>
        <w:rPr>
          <w:rFonts w:ascii="Arial" w:eastAsia="Arial" w:hAnsi="Arial" w:cs="Arial"/>
          <w:color w:val="000000"/>
          <w:sz w:val="24"/>
          <w:szCs w:val="24"/>
        </w:rPr>
      </w:pPr>
    </w:p>
    <w:sectPr w:rsidR="00923EFD">
      <w:pgSz w:w="11900" w:h="16850"/>
      <w:pgMar w:top="1160" w:right="1340" w:bottom="1000" w:left="1360" w:header="757"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E9173" w14:textId="77777777" w:rsidR="00DB7801" w:rsidRDefault="00DB7801">
      <w:r>
        <w:separator/>
      </w:r>
    </w:p>
  </w:endnote>
  <w:endnote w:type="continuationSeparator" w:id="0">
    <w:p w14:paraId="5D47840C" w14:textId="77777777" w:rsidR="00DB7801" w:rsidRDefault="00DB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6F4CC" w14:textId="4F6BB064" w:rsidR="00F66F31" w:rsidRPr="00F66F31" w:rsidRDefault="00F66F31" w:rsidP="00F66F31">
    <w:pPr>
      <w:pStyle w:val="Footer"/>
      <w:jc w:val="center"/>
      <w:rPr>
        <w:lang w:val="en-US"/>
      </w:rPr>
    </w:pPr>
    <w:r>
      <w:rPr>
        <w:lang w:val="en-US"/>
      </w:rPr>
      <w:t>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766905"/>
      <w:docPartObj>
        <w:docPartGallery w:val="Page Numbers (Bottom of Page)"/>
        <w:docPartUnique/>
      </w:docPartObj>
    </w:sdtPr>
    <w:sdtEndPr>
      <w:rPr>
        <w:noProof/>
      </w:rPr>
    </w:sdtEndPr>
    <w:sdtContent>
      <w:p w14:paraId="7E27575B" w14:textId="68F4C36F" w:rsidR="00F66F31" w:rsidRDefault="00F66F31">
        <w:pPr>
          <w:pStyle w:val="Footer"/>
          <w:jc w:val="center"/>
        </w:pPr>
        <w:r>
          <w:fldChar w:fldCharType="begin"/>
        </w:r>
        <w:r>
          <w:instrText xml:space="preserve"> PAGE   \* MERGEFORMAT </w:instrText>
        </w:r>
        <w:r>
          <w:fldChar w:fldCharType="separate"/>
        </w:r>
        <w:r>
          <w:rPr>
            <w:noProof/>
          </w:rPr>
          <w:t>56</w:t>
        </w:r>
        <w:r>
          <w:rPr>
            <w:noProof/>
          </w:rPr>
          <w:fldChar w:fldCharType="end"/>
        </w:r>
      </w:p>
    </w:sdtContent>
  </w:sdt>
  <w:p w14:paraId="056E4657" w14:textId="1DA92CC6" w:rsidR="00923EFD" w:rsidRDefault="00923EFD">
    <w:pPr>
      <w:pBdr>
        <w:top w:val="nil"/>
        <w:left w:val="nil"/>
        <w:bottom w:val="nil"/>
        <w:right w:val="nil"/>
        <w:between w:val="nil"/>
      </w:pBdr>
      <w:spacing w:line="14" w:lineRule="auto"/>
      <w:rPr>
        <w:rFonts w:ascii="Helvetica Neue" w:eastAsia="Helvetica Neue" w:hAnsi="Helvetica Neue" w:cs="Helvetica Neu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2E19B" w14:textId="77777777" w:rsidR="00DB7801" w:rsidRDefault="00DB7801">
      <w:r>
        <w:separator/>
      </w:r>
    </w:p>
  </w:footnote>
  <w:footnote w:type="continuationSeparator" w:id="0">
    <w:p w14:paraId="2248E36F" w14:textId="77777777" w:rsidR="00DB7801" w:rsidRDefault="00DB7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D1585" w14:textId="77777777" w:rsidR="00923EFD" w:rsidRDefault="00D47A4F">
    <w:pPr>
      <w:pBdr>
        <w:top w:val="nil"/>
        <w:left w:val="nil"/>
        <w:bottom w:val="nil"/>
        <w:right w:val="nil"/>
        <w:between w:val="nil"/>
      </w:pBdr>
      <w:spacing w:line="14" w:lineRule="auto"/>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lang w:val="en-US" w:eastAsia="en-US"/>
      </w:rPr>
      <mc:AlternateContent>
        <mc:Choice Requires="wps">
          <w:drawing>
            <wp:anchor distT="0" distB="0" distL="0" distR="0" simplePos="0" relativeHeight="251658240" behindDoc="1" locked="0" layoutInCell="1" hidden="0" allowOverlap="1" wp14:anchorId="18FBF579" wp14:editId="1504EB0A">
              <wp:simplePos x="0" y="0"/>
              <wp:positionH relativeFrom="page">
                <wp:posOffset>1010285</wp:posOffset>
              </wp:positionH>
              <wp:positionV relativeFrom="page">
                <wp:posOffset>732790</wp:posOffset>
              </wp:positionV>
              <wp:extent cx="0" cy="12700"/>
              <wp:effectExtent l="0" t="0" r="0" b="0"/>
              <wp:wrapNone/>
              <wp:docPr id="12" name="Konektor Panah Lurus 12"/>
              <wp:cNvGraphicFramePr/>
              <a:graphic xmlns:a="http://schemas.openxmlformats.org/drawingml/2006/main">
                <a:graphicData uri="http://schemas.microsoft.com/office/word/2010/wordprocessingShape">
                  <wps:wsp>
                    <wps:cNvCnPr/>
                    <wps:spPr>
                      <a:xfrm>
                        <a:off x="2598038" y="3780000"/>
                        <a:ext cx="54959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1" distB="0" distT="0" distL="0" distR="0" hidden="0" layoutInCell="1" locked="0" relativeHeight="0" simplePos="0">
              <wp:simplePos x="0" y="0"/>
              <wp:positionH relativeFrom="page">
                <wp:posOffset>1010285</wp:posOffset>
              </wp:positionH>
              <wp:positionV relativeFrom="page">
                <wp:posOffset>732790</wp:posOffset>
              </wp:positionV>
              <wp:extent cx="0" cy="12700"/>
              <wp:effectExtent b="0" l="0" r="0" t="0"/>
              <wp:wrapNone/>
              <wp:docPr id="1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5B5A"/>
    <w:multiLevelType w:val="hybridMultilevel"/>
    <w:tmpl w:val="539AC604"/>
    <w:lvl w:ilvl="0" w:tplc="8CB47C2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202A187F"/>
    <w:multiLevelType w:val="hybridMultilevel"/>
    <w:tmpl w:val="AC34C3CC"/>
    <w:lvl w:ilvl="0" w:tplc="64686DE0">
      <w:start w:val="1"/>
      <w:numFmt w:val="lowerLetter"/>
      <w:lvlText w:val="%1."/>
      <w:lvlJc w:val="left"/>
      <w:pPr>
        <w:ind w:left="720" w:hanging="360"/>
      </w:pPr>
      <w:rPr>
        <w:rFonts w:ascii="Microsoft Sans Serif" w:eastAsia="Microsoft Sans Serif" w:hAnsi="Microsoft Sans Serif" w:cs="Calibr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6A2298"/>
    <w:multiLevelType w:val="multilevel"/>
    <w:tmpl w:val="B5D40C2C"/>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3" w15:restartNumberingAfterBreak="0">
    <w:nsid w:val="43AE3B3D"/>
    <w:multiLevelType w:val="hybridMultilevel"/>
    <w:tmpl w:val="61C42B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86D0FB7"/>
    <w:multiLevelType w:val="hybridMultilevel"/>
    <w:tmpl w:val="490E1906"/>
    <w:lvl w:ilvl="0" w:tplc="190E86A0">
      <w:start w:val="1"/>
      <w:numFmt w:val="lowerLetter"/>
      <w:lvlText w:val="%1."/>
      <w:lvlJc w:val="left"/>
      <w:pPr>
        <w:ind w:left="786" w:hanging="360"/>
      </w:pPr>
      <w:rPr>
        <w:rFonts w:ascii="Microsoft Sans Serif" w:eastAsia="Microsoft Sans Serif" w:hAnsi="Microsoft Sans Serif" w:cs="Calibri" w:hint="default"/>
        <w:sz w:val="22"/>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5BB74552"/>
    <w:multiLevelType w:val="hybridMultilevel"/>
    <w:tmpl w:val="9B70B8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0DF7696"/>
    <w:multiLevelType w:val="hybridMultilevel"/>
    <w:tmpl w:val="85B29F0A"/>
    <w:lvl w:ilvl="0" w:tplc="31E460E4">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num w:numId="1">
    <w:abstractNumId w:val="2"/>
  </w:num>
  <w:num w:numId="2">
    <w:abstractNumId w:val="0"/>
  </w:num>
  <w:num w:numId="3">
    <w:abstractNumId w:val="4"/>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FD"/>
    <w:rsid w:val="00074FE6"/>
    <w:rsid w:val="00145604"/>
    <w:rsid w:val="001572A4"/>
    <w:rsid w:val="00191AF0"/>
    <w:rsid w:val="001C4BB2"/>
    <w:rsid w:val="00215231"/>
    <w:rsid w:val="00217AB7"/>
    <w:rsid w:val="002819C8"/>
    <w:rsid w:val="00295BF3"/>
    <w:rsid w:val="0029634A"/>
    <w:rsid w:val="002A2058"/>
    <w:rsid w:val="00303AE2"/>
    <w:rsid w:val="00361365"/>
    <w:rsid w:val="00375701"/>
    <w:rsid w:val="003A048C"/>
    <w:rsid w:val="003E4B13"/>
    <w:rsid w:val="004061DB"/>
    <w:rsid w:val="00411EE1"/>
    <w:rsid w:val="00450661"/>
    <w:rsid w:val="00451C9D"/>
    <w:rsid w:val="00471B69"/>
    <w:rsid w:val="004774A4"/>
    <w:rsid w:val="00495BC9"/>
    <w:rsid w:val="004A57FB"/>
    <w:rsid w:val="004E6EF2"/>
    <w:rsid w:val="00515F9C"/>
    <w:rsid w:val="00560D2D"/>
    <w:rsid w:val="00562CE2"/>
    <w:rsid w:val="005735C2"/>
    <w:rsid w:val="00576034"/>
    <w:rsid w:val="005A2AB9"/>
    <w:rsid w:val="005F23A3"/>
    <w:rsid w:val="006743A4"/>
    <w:rsid w:val="006D7FFA"/>
    <w:rsid w:val="006E053E"/>
    <w:rsid w:val="00700EC8"/>
    <w:rsid w:val="00733899"/>
    <w:rsid w:val="00790AA0"/>
    <w:rsid w:val="007923F4"/>
    <w:rsid w:val="007A7272"/>
    <w:rsid w:val="007E6B62"/>
    <w:rsid w:val="007F2762"/>
    <w:rsid w:val="008205B0"/>
    <w:rsid w:val="00843B67"/>
    <w:rsid w:val="008A2B80"/>
    <w:rsid w:val="008C6DAB"/>
    <w:rsid w:val="008D62B2"/>
    <w:rsid w:val="008F549A"/>
    <w:rsid w:val="00901FD3"/>
    <w:rsid w:val="00923EFD"/>
    <w:rsid w:val="00925141"/>
    <w:rsid w:val="00926D2F"/>
    <w:rsid w:val="0095753E"/>
    <w:rsid w:val="00A30CE9"/>
    <w:rsid w:val="00A55B53"/>
    <w:rsid w:val="00A64906"/>
    <w:rsid w:val="00AE058A"/>
    <w:rsid w:val="00B11071"/>
    <w:rsid w:val="00B326B9"/>
    <w:rsid w:val="00B61A61"/>
    <w:rsid w:val="00B85D75"/>
    <w:rsid w:val="00B95BF1"/>
    <w:rsid w:val="00BB7866"/>
    <w:rsid w:val="00C162A3"/>
    <w:rsid w:val="00C37964"/>
    <w:rsid w:val="00C45A20"/>
    <w:rsid w:val="00C54038"/>
    <w:rsid w:val="00C61B07"/>
    <w:rsid w:val="00CA2197"/>
    <w:rsid w:val="00CC06FE"/>
    <w:rsid w:val="00CD1D52"/>
    <w:rsid w:val="00CD44ED"/>
    <w:rsid w:val="00CD78F5"/>
    <w:rsid w:val="00D05C7D"/>
    <w:rsid w:val="00D124C3"/>
    <w:rsid w:val="00D248CE"/>
    <w:rsid w:val="00D47A4F"/>
    <w:rsid w:val="00D528B5"/>
    <w:rsid w:val="00D536D3"/>
    <w:rsid w:val="00D70D9F"/>
    <w:rsid w:val="00D70F23"/>
    <w:rsid w:val="00D7333B"/>
    <w:rsid w:val="00D97218"/>
    <w:rsid w:val="00DB7801"/>
    <w:rsid w:val="00DE6136"/>
    <w:rsid w:val="00DF1F82"/>
    <w:rsid w:val="00DF4E8E"/>
    <w:rsid w:val="00E24943"/>
    <w:rsid w:val="00E40B1F"/>
    <w:rsid w:val="00E548AF"/>
    <w:rsid w:val="00E6743A"/>
    <w:rsid w:val="00E807F9"/>
    <w:rsid w:val="00E85D05"/>
    <w:rsid w:val="00EA444D"/>
    <w:rsid w:val="00EC467E"/>
    <w:rsid w:val="00EF63E0"/>
    <w:rsid w:val="00F66F31"/>
    <w:rsid w:val="00FC3730"/>
    <w:rsid w:val="00FC7E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3FAA"/>
  <w15:docId w15:val="{D5A53020-72FE-D44B-9B0E-7F9213C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sz w:val="22"/>
        <w:szCs w:val="22"/>
        <w:lang w:val="id-ID" w:eastAsia="id-ID"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342"/>
      <w:outlineLvl w:val="0"/>
    </w:pPr>
    <w:rPr>
      <w:rFonts w:ascii="Verdana" w:eastAsia="Verdana" w:hAnsi="Verdana" w:cs="Verdana"/>
      <w:b/>
      <w:bCs/>
      <w:i/>
      <w:iCs/>
      <w:sz w:val="21"/>
      <w:szCs w:val="21"/>
    </w:rPr>
  </w:style>
  <w:style w:type="paragraph" w:styleId="Heading2">
    <w:name w:val="heading 2"/>
    <w:basedOn w:val="Normal"/>
    <w:uiPriority w:val="9"/>
    <w:unhideWhenUsed/>
    <w:qFormat/>
    <w:pPr>
      <w:ind w:left="342"/>
      <w:outlineLvl w:val="1"/>
    </w:pPr>
    <w:rPr>
      <w:rFonts w:ascii="Tahoma" w:eastAsia="Tahoma" w:hAnsi="Tahoma" w:cs="Tahoma"/>
      <w:b/>
      <w:bCs/>
      <w:sz w:val="20"/>
      <w:szCs w:val="20"/>
    </w:rPr>
  </w:style>
  <w:style w:type="paragraph" w:styleId="Heading3">
    <w:name w:val="heading 3"/>
    <w:basedOn w:val="Normal"/>
    <w:next w:val="Normal"/>
    <w:link w:val="Heading3Char"/>
    <w:uiPriority w:val="9"/>
    <w:unhideWhenUsed/>
    <w:qFormat/>
    <w:rsid w:val="003846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MT" w:eastAsia="Arial MT" w:hAnsi="Arial MT" w:cs="Arial MT"/>
    </w:rPr>
  </w:style>
  <w:style w:type="character" w:customStyle="1" w:styleId="Heading3Char">
    <w:name w:val="Heading 3 Char"/>
    <w:basedOn w:val="DefaultParagraphFont"/>
    <w:link w:val="Heading3"/>
    <w:uiPriority w:val="9"/>
    <w:rsid w:val="003846E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85A42"/>
    <w:pPr>
      <w:tabs>
        <w:tab w:val="center" w:pos="4513"/>
        <w:tab w:val="right" w:pos="9026"/>
      </w:tabs>
    </w:pPr>
  </w:style>
  <w:style w:type="character" w:customStyle="1" w:styleId="HeaderChar">
    <w:name w:val="Header Char"/>
    <w:basedOn w:val="DefaultParagraphFont"/>
    <w:link w:val="Header"/>
    <w:uiPriority w:val="99"/>
    <w:rsid w:val="00B85A42"/>
    <w:rPr>
      <w:rFonts w:ascii="Microsoft Sans Serif" w:eastAsia="Microsoft Sans Serif" w:hAnsi="Microsoft Sans Serif" w:cs="Microsoft Sans Serif"/>
    </w:rPr>
  </w:style>
  <w:style w:type="paragraph" w:styleId="Footer">
    <w:name w:val="footer"/>
    <w:basedOn w:val="Normal"/>
    <w:link w:val="FooterChar"/>
    <w:uiPriority w:val="99"/>
    <w:unhideWhenUsed/>
    <w:rsid w:val="00B85A42"/>
    <w:pPr>
      <w:tabs>
        <w:tab w:val="center" w:pos="4513"/>
        <w:tab w:val="right" w:pos="9026"/>
      </w:tabs>
    </w:pPr>
  </w:style>
  <w:style w:type="character" w:customStyle="1" w:styleId="FooterChar">
    <w:name w:val="Footer Char"/>
    <w:basedOn w:val="DefaultParagraphFont"/>
    <w:link w:val="Footer"/>
    <w:uiPriority w:val="99"/>
    <w:rsid w:val="00B85A42"/>
    <w:rPr>
      <w:rFonts w:ascii="Microsoft Sans Serif" w:eastAsia="Microsoft Sans Serif" w:hAnsi="Microsoft Sans Serif" w:cs="Microsoft Sans Serif"/>
    </w:rPr>
  </w:style>
  <w:style w:type="character" w:styleId="Hyperlink">
    <w:name w:val="Hyperlink"/>
    <w:basedOn w:val="DefaultParagraphFont"/>
    <w:uiPriority w:val="99"/>
    <w:semiHidden/>
    <w:unhideWhenUsed/>
    <w:rsid w:val="00637F5F"/>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6743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kasiilmiah.unwahas.ac.id/index.php/IJMBS/"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s://publikasiilmiah.unwahas.ac.id/index.php/IJMB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kasiilmiah.unwahas.ac.id/index.php/IJMBS"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b8KnxK7Ics74tDK331tkjnlxg==">CgMxLjAaJAoBMBIfCh0IB0IZCgVBcmlhbBIQQXJpYWwgVW5pY29kZSBNUzgAciExWmxXRnJfWGx4LXZuXzdSeUNhUEE3OHVuVG9GOXBFcnk=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4752</Words>
  <Characters>27087</Characters>
  <Application>Microsoft Office Word</Application>
  <DocSecurity>0</DocSecurity>
  <Lines>225</Lines>
  <Paragraphs>63</Paragraphs>
  <ScaleCrop>false</ScaleCrop>
  <Company/>
  <LinksUpToDate>false</LinksUpToDate>
  <CharactersWithSpaces>31776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Hilya Ramadhania Siyauqi Maudah</dc:creator>
  <cp:lastModifiedBy>Microsoft account</cp:lastModifiedBy>
  <cp:revision>143</cp:revision>
  <dcterms:created xsi:type="dcterms:W3CDTF">2022-08-24T06:26:00Z</dcterms:created>
  <dcterms:modified xsi:type="dcterms:W3CDTF">2024-01-16T09:17:00Z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2013</vt:lpwstr>
  </property>
  <property fmtid="{D5CDD505-2E9C-101B-9397-08002B2CF9AE}" pid="4" name="LastSaved">
    <vt:filetime>2022-06-13T00:00:00Z</vt:filetime>
  </property>
</Properties>
</file>